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17.2013.153 vom 1. September 2014</w:t>
      </w:r>
    </w:p>
    <w:p>
      <w:r>
        <w:t>TI Tribunale d'appello, 2014-09-01, IT</w:t>
      </w:r>
    </w:p>
    <w:p>
      <w:r>
        <w:rPr>
          <w:b/>
        </w:rPr>
        <w:t xml:space="preserve">Quelle: </w:t>
      </w:r>
      <w:r>
        <w:t>https://mcp.opencaselaw.ch/entscheid/ti_gerichte_17.2013.153</w:t>
      </w:r>
    </w:p>
    <w:p>
      <w:r>
        <w:t>FR: TI_GERICHTE 17.2013.153 du 1 septembre 2014</w:t>
      </w:r>
    </w:p>
    <w:p>
      <w:r>
        <w:t>IT: TI_GERICHTE 17.2013.153 del 1 settembre 2014</w:t>
      </w:r>
    </w:p>
    <w:p>
      <w:pPr>
        <w:pStyle w:val="Heading2"/>
      </w:pPr>
      <w:r>
        <w:t>Regeste</w:t>
      </w:r>
    </w:p>
    <w:p>
      <w:r>
        <w:t>Motivo di revisione di cui all'art. 410 cpv. 1 lett. a CPP. Nozioni di fatto o mezzo di prova "nuovo" e "rilevante". Quando una domanda di revisione ai sensi del citato disposto è abusiva</w:t>
      </w:r>
    </w:p>
    <w:p>
      <w:pPr>
        <w:pStyle w:val="Heading2"/>
      </w:pPr>
      <w:r>
        <w:t>Erwägungen</w:t>
      </w:r>
    </w:p>
    <w:p>
      <w:r>
        <w:rPr>
          <w:b/>
        </w:rPr>
        <w:t>E. 1</w:t>
      </w:r>
    </w:p>
    <w:p>
      <w:r>
        <w:t>Si rileva, in primo luogo, che, sottoscrivendo l’istanza presentata da DI 1, IS 1 ha fatte proprie le argomentazioni e le richieste in essa contenute, sanando il difetto di legittimazione a ragione sollevato dal procuratore pubblico (cfr. in part. art. 127 cpv. 5 CPP). L’istanza di revisione è, pertanto, ricevibile.</w:t>
      </w:r>
    </w:p>
    <w:p>
      <w:r>
        <w:rPr>
          <w:b/>
        </w:rPr>
        <w:t>E. 2</w:t>
      </w:r>
    </w:p>
    <w:p>
      <w:r>
        <w:t>Per l’art. 410 cpv. 1 lett. a CPP, chi è aggravato da una sentenza passata in giudicato, da un decreto d’accusa, da una decisione giudiziaria successiva o da una decisione emanata nella procedura indipendente in materia di misure può chiedere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(Messaggio, pag. 1222; Piquerez/Macaluso, Procédure pénale suisse, 3a edizione, Ginevra/Zurigo/Basilea 2011, n. 2093; DTF 130 IV 72 consid. 1; 122 IV 66 consid. 2a, 120 IV 246 consid. 2a, 117 IV 40 consid. 2a pag. 47,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op. cit., nota 2093 e seg.; DTF 122 IV 66 consid. 2b; STF 6B_114/2007 del 6 settembre 2007 consid. 4).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(STF 6B_114/2007 del 6 settembre 2007 consid. 4). Per ammettere che un fatto o un mezzo di prova agli atti rimasto ignoto al giudice possa dar spazio ad una revisione occorre, in particolare, che lo stesso sia talmente probante su una questione decisiva da non potersi immaginare che il giudice avrebbe statuito nel senso del giudizio impugnato se ne avesse preso conoscenza. Il TF ha, a titolo d’esempio, indicato che potrebbe essere data la novità di un documento già agli atti in un caso in cui l’annotazione decisiva figura a piccoli caratteri sul retro di un contratto o quando un atto è contenuto in un ampio lotto di documenti che non sono stati debitamente vagliati e sui quali l’attenzione manifestamente non è stata portata, ritenuto comunque che, nel dubbio, occorre partire dal presupposto che il giudice ha preso conoscenza di tutti gli atti e di tutti i mezzi di prova discussi in occasione del dibattimento (DTF 122 IV 6 consid. 2b).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(o sfavorevole) al condannato ( Piquerez/Macaluso, op. cit., n. 2095; Hauser/Schweri/Hartmann, Schweizerisches Strafprozessrecht, 6a edizione, Basilea 2005, § 102 n. 24; DTF 122 IV 66 consid. 2a con richiami; STF 6B_242/2009 del 6 agosto 2009 consid. 2; STF 6B_114/2007 del 6 settembre 2007 consid. 4). Qualora siano addotti più fatti nuovi, essi devono essere valutati globalmente (DTF 116 IV 353 consid. 5b; Gass, Basler Kommentar, Strafrecht II, 3a edizione, Basilea 2013, ad art. 385 n. 109). b) È generalmente riconosciuto che una revisione non deve servire a rimettere continuamente in discussione una decisione passata in giudicato, a raggirare disposizioni legali sui termini di ricorso o sulla loro restituzione, oppure a introdurre dei fatti o delle prove non presentati nel procedimento di primo grado in ragione di una negligenza procedurale (cfr. DTF 130 IV 72, consid. 2.2; Heer, in Basler Kommentar, StPO, Basilea 2011, ad art. 410 n. 42). In simili casi vi è in effetti un abuso di diritto che, ai sensi dell’art. 3 cpv. 2 lett. b CPP, non può trovare tutela alcuna. Il TF ha in particolare già avuto modo di osservare che una domanda di revisione diretta contro un decreto d’accusa dev’essere dichiarata abusiva se essa si fonda su fatti che l’istante conosceva già inizialmente, che non aveva alcuna ragione legittima di sottacere e che avrebbe potuto rivelare in una procedura ordinaria avviata con una semplice opposizione (DTF 130 IV 72 consid. 2.3; STF 6B_54/2014 del 24 aprile 2014, consid. 3; STF 6B_310/2011 del 20 giugno 2011, consid. 11.3). Per contro una domanda di revisione può entrare in considerazione per fatti e mezzi di prova rilevanti che il condannato non conosceva al momento dell’emanazione della sentenza o di cui non poteva prevalersi o non aveva ragione di prevalersi in quel periodo (DTF 130 IV 72 consid. 2.3; STF 6B_54/2014 del 24 aprile 2014, consid. 3; STF 6B_310/2011 del 20 giugno 2011, consid. 11.3). La dottrina e la giurisprudenza menzionano, a titolo esemplificativo, quale fatto nuovo in materia di circolazione stradale, il caso di un conducente condannato per perdita di padronanza del veicolo, che apprende dopo la scadenza del termine di opposizione, che il fondo stradale aveva una malformazione che ha causato altri incidenti simili, di cui neppure il giudice era a conoscenza (Clerc, Remarque sur l’ordonnance pénale, in RPS 94/1977, pag. 426 citato in DTF 130 IV 72 consid. 2.3).</w:t>
      </w:r>
    </w:p>
    <w:p>
      <w:r>
        <w:rPr>
          <w:b/>
        </w:rPr>
        <w:t>E. 3</w:t>
      </w:r>
    </w:p>
    <w:p>
      <w:r>
        <w:t>In concreto, come visto, l’istante chiede l’audizione di due colleghi pastori che hanno assistito ai fatti imputatigli con il DA: __________ e __________. IS 1 sembra, inoltre, voler fondare la domanda di revisione anche sulle considerazioni svolte sul suo conto nell’istanza da DI 1. Per quanto riguarda, dapprima, la teste __________, si osserva che essa è già stata esaustivamente sentita dagli inquirenti in data 7 novembre 2012 (cfr. suo verbale allegato al Rapporto di polizia). Ritenuto come non vi siano elementi che possano anche solo far pensare che il verbale della teste sia rimasto sconosciuto al procuratore pubblico (ciò che l’istante del resto nemmeno pretende), forza è concludere che un’eventuale audizione della donna non rivestirebbe nessun carattere di novità. La richiesta dell’istante deve dunque essere respinta già solo per questo motivo. Nemmeno l’istanza può essere accolta relativamente alla richiesta di procedere all’audizione di __________ in qualità di teste. Dal verbale d’interrogatorio di IS 1 si evince, infatti, che proprio __________ era intervenuto per sedare la colluttazione in corso tra lui ed __________ (cfr. suo verbale 30 ottobre 2012 allegato al doc. CARP III, pag. 3; circostanza peraltro confermata anche da __________, cfr. suo verbale 30 ottobre 2012 allegato al doc. CARP III, pag. 3, e dalla teste __________, cfr. suo verbale 7 novembre 2012 allegato al doc. CARP III, pag. 3). L’istante sapeva, dunque, fin dal giorno in cui si sono verificati i fatti, che il collega pastore poteva fornire ragguagli utili per il giudizio. Preso atto del contenuto del DA, egli avrebbe quindi dovuto interporvi opposizione e chiedere l’audizione di __________ nell’ambito del procedimento presso la Pretura penale. IS 1 è, invece, rimasto inerte, lasciando che il DA acquisisse forza di cosa giudicata. Come visto, la revisione non può assurgere a mezzo per rimediare ad inadempienze o ad errori di valutazione da parte del prevenuto, ciò che equivarrebbe a tollerare un suo comportamento contradditorio e irrispettoso della funzione del termine per l’inoltro dell’opposizione al DA che è quella di stabilire se la condanna è passata o meno in giudicato, garantendo così la sicurezza del diritto (DTF 130 IV 72 consid. 2.3). Solo di transenna è infine il caso di osservare che - anche volendo considerarla una nuova prova - la dichiarazione di DI 1 contenuta nell’istanza è del tutto irrilevante ai fini di una revisione, emanando essa da un soggetto che non ha assistito ai fatti e essendo, dunque, assolutamente inidonea a comportare una modifica del giudizio. Per tutte le considerazioni che precedono, l’istanza di revisione di IS 1 deve essere respinta.</w:t>
      </w:r>
    </w:p>
    <w:p>
      <w:r>
        <w:rPr>
          <w:b/>
        </w:rPr>
        <w:t>E. 4</w:t>
      </w:r>
    </w:p>
    <w:p>
      <w:r>
        <w:t>Gli oneri processuali seguono la soccombenza (art. 428 cpv. 1 CPP) e sono posti a carico dell’istante. Per questi motivi, visti gli art.                      3 cpv. 2 lett. b, 81, 410 segg., 428 CPP nonché, sulle spese e sulle ripetibili, l’art. 428 CPP e la LTG, pronuncia:              1. L’istanza di revisione è respinta. 2. Gli oneri processuali, consistenti in: -  tassa di giustizia                    fr.           500.- -  spese complessive                fr.           200.- fr.           700.- sono posti a carico dell’istante. 3.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