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17.2011.69 vom 17. April 2012</w:t>
      </w:r>
    </w:p>
    <w:p>
      <w:r>
        <w:t>TI Tribunale d'appello, 2012-04-17, IT</w:t>
      </w:r>
    </w:p>
    <w:p>
      <w:r>
        <w:rPr>
          <w:b/>
        </w:rPr>
        <w:t xml:space="preserve">Quelle: </w:t>
      </w:r>
      <w:r>
        <w:t>https://mcp.opencaselaw.ch/entscheid/ti_gerichte_17.2011.69</w:t>
      </w:r>
    </w:p>
    <w:p>
      <w:r>
        <w:t>FR: TI_GERICHTE 17.2011.69 du 17 avril 2012</w:t>
      </w:r>
    </w:p>
    <w:p>
      <w:r>
        <w:t>IT: TI_GERICHTE 17.2011.69 del 17 aprile 2012</w:t>
      </w:r>
    </w:p>
    <w:p>
      <w:pPr>
        <w:pStyle w:val="Heading2"/>
      </w:pPr>
      <w:r>
        <w:t>Regeste</w:t>
      </w:r>
    </w:p>
    <w:p>
      <w:r>
        <w:t>Indennizzo per spese legali a seguito di proscioglimento. La remunerazione oraria riconosciuta all'avv. in casi non particolarmente complicati ammonta a fr. 280.-</w:t>
      </w:r>
    </w:p>
    <w:p>
      <w:pPr>
        <w:pStyle w:val="Heading2"/>
      </w:pPr>
      <w:r>
        <w:t>Erwägungen</w:t>
      </w:r>
    </w:p>
    <w:p>
      <w:r>
        <w:rPr>
          <w:b/>
        </w:rPr>
        <w:t>E. 6</w:t>
      </w:r>
    </w:p>
    <w:p>
      <w:r>
        <w:t>ad art. 429 CPP; Mizel/Rétornaz, op. cit., n. 21 ad art. 429 CPP; Griesser, Kommentar zur schweizerischen Strafprozessordnung, Zurigo/Basilea/Ginevra 2010, n. 2 ad art. 429 CPP; Wehrenberg/Bernhard, Basler Kommentar, StPO, Basilea 2011, n. 6 ad art. 429 CPP; Mini, op. cit., n. 1 ad art. 429 CPP). b.2. L’imputato ha diritto ad un’indennità per le spese di patrocinio, ad un’indennità per il danno economico ed alla riparazione del torto morale conseguenti al procedimento penale. Nel merito, negli art. 429 e segg. CPP fed. si ritrovano molti dei principi generali estrapolati dagli art. 317 e segg. CPP TI, tutti peraltro mutuati dalle norme sulla responsabilità del CO (CRP 60.2010.419 del 31 gennaio 2011). Pertanto, la giurisprudenza prolata sotto l’egida della norma precedentemente in vigore mantiene, di principio, la sua validità. b.3. Per l’art. 429 cpv. 1 lett. a CPP fed., l’imputato ha diritto al risarcimento delle spese sostenute ai fini di un adeguato esercizio dei suoi diritti procedurali. 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pag. 1231; Mini, op. cit., n. 5 ad art. 429 CPP; Griesser, op. cit., n. 4 ad art. 429 CPP; Schmid, Praxiskommentar, n. 7 ad art. 429 CPP; Wehrenberg/Bernhard, op. cit., n. 13 ad art. 429 CPP; Riklin, Schweizerische Strafprozessordnung, Zurigo 2010, n. 3 ad art. 429 CPP). Questa Corte non ritiene di doversi scostare dalla prassi della Camera dei ricorsi penali - sola autorità competente per pronunciarsi sulle istanze di indennizzo fino al 31 dicembre 2010 - che, nello stabilire l’importo delle spese di patrocinio da risarcire, verificava la conformità della nota d’onorario secondo il principio stabilito dall’art. 15a cpv. 2 LAvv, in vigore dal 1. gennaio 2008, disposizione che ha, peraltro, ripreso l’art. 8 TOA dopo l’abrogazione - con effetto a partire dal 1. gennaio 2008 - di tale normativa.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Questa Corte - in ragione di detta norma e anche in applicazione del nuovo diritto - ammette, quindi, onorari corrispondenti ad una regolare, ordinata e ragionevole conduzione del mandato, applicando criteri corrispondenti a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 novembre 2010; 60.2010.189 del 12 novembre 2010). Rimanendo valido il principio della remunerazione dipendente dalla complessità del caso, questa Corte ritiene che la remunerazione oraria debba essere fissata prendendo come base, per i casi che non presentano particolari difficoltà, l’importo di fr. 280.- stabilito dall’art. 12 del Regolamento sulla tariffa per i casi di patrocinio d’ufficio e di assistenza giudiziaria e per la fissazione delle ripetibili del 19 dicembre 2007 (la CRP, fondandosi su una decisione del CdM del 2001, applicava un importo base di fr. 250.-). Sulle spese, questa Corte si allinea alla giurisprudenza sviluppata dalla CRP che, fino al 31 dicembre 2010, riconosceva le spese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(CRP 60.2010.119 del 10 novembre 2010). 2. Con scritto 26 ottobre 2011, gli istanti hanno postulato la rifusione, a titolo di indennizzo, della nota professionale del loro patrocinatore di fiducia da loro stessi definita “completa” (cfr. doc. II) ed ammontante a complessivi fr. 4'810.30. Detto importo corrisponde a fr. 4'000.- di onorario (pari a 14 ore e 20 minuti a fr. 280.-/ora, arrotondato per difetto), fr. 454.- di spese e fr. 356.30 di IVA (atto processuale II). La tariffa oraria di fr. 280.- esposta nella summenzionata nota è conforme ai principi sopraindicati, ritenuto che la fattispecie non appare particolarmente complessa né dal profilo fattuale né da quello giuridico (ciò che, peraltro, gli istanti neppure pretendono). Il dispendio orario indicato appare, nel complesso, adeguato e viene ammesso così come esposto. Si giustifica, quindi, di riconoscere un onorario pari a 14 ore e 20 minuti a fr. 280.-/ora, per complessivi fr. 4’013.-, arrotondati, come da richiesta, a fr. 4’000.-. Anche le spese indicate nella nota professionale sono ammesse, come esposte, per complessivi fr. 454.-. L’IVA ammonta a fr. 356.30. Dall’importo complessivo di fr. 4’810.30 occorre dedurre fr. 4'000.- già accordati agli istanti per ripetibili dalla CARP con sentenza 5 settembre 2011 (cfr. sentenza CARP 17.2011.35-36 consid. 5 e dispositivi n. I.2 e n. II.2). Essi vanno, pertanto, risarciti a titolo di spese legali nella misura di fr. 810.30. 3.   Spese La tassa di giustizia di fr. 500.- e le spese di fr. 50.-, per complessivi fr. 550.-. sono interamente poste a carico dello Stato. Per questi motivi, richiamata per le spese la tariffa giudiziaria, dichiara e pronuncia: 1. L’istanza è accolta. Di conseguenza, a titolo di indennizzo giusta gli art. 429 e segg. CPP, lo Stato della Repubblica e del Cantone Ticino, Bellinzona, rifonderà a IS 1 - assolti dall’imputazione di infrazione alla Legge federale sull’assicurazione per l’invalidità con sentenza 5 settembre 2011 della CARP - l’importo di fr. 810.30. 2. Gli oneri processuali, consistenti in: a) tassa di giustizia                    fr.            500.- b) spese complessive               fr.              50.- fr.            550.- sono integralmente posti a carico dello Stato.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