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17.2011.121 vom 20. März 2012</w:t>
      </w:r>
    </w:p>
    <w:p>
      <w:r>
        <w:t>TI Tribunale d'appello, 2012-03-20, IT</w:t>
      </w:r>
    </w:p>
    <w:p>
      <w:r>
        <w:rPr>
          <w:b/>
        </w:rPr>
        <w:t xml:space="preserve">Quelle: </w:t>
      </w:r>
      <w:r>
        <w:t>https://mcp.opencaselaw.ch/entscheid/ti_gerichte_17.2011.121_d20120320</w:t>
      </w:r>
    </w:p>
    <w:p>
      <w:r>
        <w:t>FR: TI_GERICHTE 17.2011.121 du 20 mars 2012</w:t>
      </w:r>
    </w:p>
    <w:p>
      <w:r>
        <w:t>IT: TI_GERICHTE 17.2011.121 del 20 marzo 2012</w:t>
      </w:r>
    </w:p>
    <w:p>
      <w:pPr>
        <w:pStyle w:val="Heading2"/>
      </w:pPr>
      <w:r>
        <w:t>Regeste</w:t>
      </w:r>
    </w:p>
    <w:p>
      <w:r>
        <w:t>Contravviene alla LCSl il venditore che non indica sulle merci offerte il prezzo in franchi svizzeri. Il consumatore deve poter comprendere il prezzo ad una semplice lettura, di primo acchito, autonomamente e senza necessitare di ulteriori chiarimenti né di paricolari sforzi intellettivi</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26 ottobre 2011 della Pretura penale è pertanto retta dai disposti degli art. 398 e segg. CPP concernenti l’appello.</w:t>
      </w:r>
    </w:p>
    <w:p>
      <w:r>
        <w:rPr>
          <w:b/>
        </w:rPr>
        <w:t>E. 2</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 Mini, Codice svizzero di procedura penale (CPP), Commentario, Zurigo 2010, ad art. 398, n. 20, pag. 742; Kistler Vianin, in Commentaire romand, Code de procédure pénale suisse, Basilea 2011 ,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op. cit., ad art. 398, n. 22, pag. 743; Kistler Vianin,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Il giudice non incorre, invece, in arbitrio quando le sue conclusioni, pur essendo discutibili, sono comunque sostenibili nel risultato (DTF 137 I 1 consid. 2.4; DTF 136 III 552 consid. 4.2; DTF 135 V 2 consid. 1.3; DTF 134 I 140 consid. 5.4; DTF 133 I 149 consid. 3.1 e sentenze ivi citate; STF dell’8 agosto 2011 inc. 6B_312/2011 consid. 2.1). Sempre secondo l’art. 398 cpv. 4 CPP, l’accertamento dei fatti è censurabile anche se fondato su una violazione del diritto. Così come indicato da Mini, con questa formulazione (diversa da quella dell’avamprogetto) il legislatore ha voluto indicare le violazioni delle norme procedurali e andrebbe interpretata nel senso dell’art. 288 lett. b CPP-TI che indicava come motivo di ricorso i vizi essenziali di procedura (Mini, op. cit. ad art. 398, n. 23, pag 743). Altri autori hanno, al proposito, indicato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op. cit., ad art. 398, n. 13, pag. 768).</w:t>
      </w:r>
    </w:p>
    <w:p>
      <w:r>
        <w:rPr>
          <w:b/>
        </w:rPr>
        <w:t>E. 2.3</w:t>
      </w:r>
    </w:p>
    <w:p>
      <w:r>
        <w:t>alla quale rinvia anche DTF 132 II 240 consid. 4.3.4; Uhlmann in Jung/Spitz, Bundesgesetz gegen den unlauteren Wettbewerb (UWG), Berna 2010, ad art. 16, n. 22 pag. 996) . Il tenore dell’art. 3 cpv. 1 OIP è, pertanto, in linea sia con la ratio legis della LCSl, sia con la giurisprudenza del Tribunale federale, sia con la dottrina. L’immediatezza d’informazione implica che il consumatore possa di primo acchito e autonomamente conoscere il prezzo in franchi della merce esposta. In tal modo è così preservata anche l’immediata comparabilità fra prezzi espressi in franchi. In concreto, questa trasparenza non è stata assicurata dalla __________, in quanto la mera indicazione del prezzo in euro di alcune merci impone ai clienti interessati a conoscerne il corrispettivo in franchi di avvalersi dell’assistenza di un commesso o, comunque, di far capo al cartello, posto all’entrata del negozio, indicante il cambio euro/franchi giornaliero e ad effettuare, poi, il relativo calcolo di conversione. Pur comprendendo le oggettive difficoltà di chi si trova ad operare in un cantone di confine, le disposizioni di legge qui applicate sono chiare e non lasciano spazio ad eccezioni. Nemmeno è possibile ravvisare nella fattispecie una situazione di necessità che potrebbe giustificare questo fatto. d) Trovando integrale conferma la condanna di primo grado per contravvenzione alla LCSl, non viene riconosciuta all’appellante alcuna indennità per spese processuali. 4.   Sulla tassa di giustizia e sulle spese Gli oneri processuali del presente giudizio, consistenti in fr. 700.- per tassa di giustizia e fr. 200.- a titolo di spese, seguono la soccombenza e sono pertanto posti a carico dell’appellante (art. 428 cpv. 1 CPP). Per questi motivi, visti gli art.                      96 cpv. 2 lett. b, 97 cpv. 1 e 190 Cost. , 1, 2, 1</w:t>
      </w:r>
    </w:p>
    <w:p>
      <w:r>
        <w:rPr>
          <w:b/>
        </w:rPr>
        <w:t>E. 3</w:t>
      </w:r>
    </w:p>
    <w:p>
      <w:r>
        <w:t>OIP, del resto, rispecchia pienamente il principio informatore della LCSl, ovvero la protezione della concorrenza leale e inalterata (art. 1 LCSl), il cui raggiungimento presuppone trasparenza di mercato e protezione del consumatore in quanto destinatario e coattore della concorrenza (83.038 Messaggio sulla legge federale contro la concorrenza sleale del 18 maggio 1983 FF 1983 II 1038) . Entrambi questi obiettivi impongono chiarezza d’informazione in materia di prezzi affinché i clienti possano “ svolgere la loro funzione regolatrice ” nell’ambito del mercato ( 09.069 Messaggio concernente la modifica della legge federale contro la concorrenza sleale del 2 settembre 2009 FF 2009 5338 ). Come sostenuto dal TF e in dottrina, questa trasparenza deve permettere al consumatore di comprendere istantaneamente, ad una semplice lettura del prezzo, la sua esatta portata, senza che egli debba essere tenuto ad effettuare calcoli di sorta (DTF 128 IV 177 consid.</w:t>
      </w:r>
    </w:p>
    <w:p>
      <w:r>
        <w:rPr>
          <w:b/>
        </w:rPr>
        <w:t>E. 3.1</w:t>
      </w:r>
    </w:p>
    <w:p>
      <w:r>
        <w:t>Il giudice della Pretura penale, dopo avere ripercorso i fatti imputati a AP 1 ed indicato i presupposti applicativi dell’art. 16 cpv. 1 LCSl, dell’art. 24 cpv. 1 lett. e LCSl, dell’art. 3 cpv. 1 OIP e dell’art. 21 OIP, ha ricordato che la legislazione in materia consente la duplice indicazione dei prezzi in franchi svizzeri e in valuta estera ed ha precisato che resta facoltà del commerciante accettare o meno il pagamento del prezzo nella valuta estera. Ciò premesso, per la prima istanza, in osservanza del principio della legalità, nel caso di specie trova applicazione l’art. 3 cpv. 1 OIP in quanto l’appellante ha omesso l’indicazione del prezzo effettivamente pagabile (anche) in franchi svizzeri, omissione sanzionabile ai sensi dell’art. 24 cpv. 1 lett. e LCSl al quale rinvia l’art. 21 OIP. Per il giudice della Pretura penale, con l’adozione dell’art.  3 cpv. 1 OIP l’esecutivo federale non è andato oltre la delega legislativa di cui all’art. 16 LCSl ed ha, pertanto, ritenuto AP 1 autore colpevole di contravvenzione alla Legge federale contro la concorrenza sleale in applicazione degli art. 16 e 24 cpv. 1 lett. e LCSl nonché degli art.</w:t>
      </w:r>
    </w:p>
    <w:p>
      <w:r>
        <w:rPr>
          <w:b/>
        </w:rPr>
        <w:t>E. 06</w:t>
      </w:r>
    </w:p>
    <w:p>
      <w:r>
        <w:t>cpv. 1 lett. c CPP , nonché, sulle spese e sulle ripetibili, l’art. 428 CPP e la LTG, dichiara e pronuncia: 1. L’appello è respinto. Di conseguenza, 1.1.   AP 1 è autore colpevole di contravvenzione alla LF contro la concorrenza sleale per avere permesso, quale responsabile della “__________”, che nell’omonimo mobilificio di __________, il 20% della merce esposta in vendita il 16 febbraio 2011 recasse unicamente il prezzo in euro. 1.2.   AP 1 è condannato: 1.2.1. alla multa di fr. 250.- (duecentocinquanta); in caso di mancato pagamento la pena detentiva sostitutiva è fissata in 3 (tre) giorni; 1.2.2 .   al pagamento delle tasse e spese giudiziarie di primo grado per complessivi fr. 700.- (settecento). 2. Gli oneri processuali di appello, consistenti in: -  tassa di giustizia                     fr.            700.- -  altri disborsi                            fr.            200.- fr.            900.- sono posti a carico dell’appellante (art. 428 cpv. 1 CPP).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e 24 cpv. 1 lett. e LCSl, 3 e 21 OIP, art. 1 cpv. 1 e 2 LPcontr, 398 e segg.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