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17.2011.120 vom 2. Februar 2012</w:t>
      </w:r>
    </w:p>
    <w:p>
      <w:r>
        <w:t>TI Tribunale d'appello, 2012-02-02, IT</w:t>
      </w:r>
    </w:p>
    <w:p>
      <w:r>
        <w:rPr>
          <w:b/>
        </w:rPr>
        <w:t xml:space="preserve">Quelle: </w:t>
      </w:r>
      <w:r>
        <w:t>https://mcp.opencaselaw.ch/entscheid/ti_gerichte_17.2011.120</w:t>
      </w:r>
    </w:p>
    <w:p>
      <w:r>
        <w:t>FR: TI_GERICHTE 17.2011.120 du 2 février 2012</w:t>
      </w:r>
    </w:p>
    <w:p>
      <w:r>
        <w:t>IT: TI_GERICHTE 17.2011.120 del 2 febbraio 2012</w:t>
      </w:r>
    </w:p>
    <w:p>
      <w:pPr>
        <w:pStyle w:val="Heading2"/>
      </w:pPr>
      <w:r>
        <w:t>Regeste</w:t>
      </w:r>
    </w:p>
    <w:p>
      <w:r>
        <w:t>Presupposti oggettivi e soggettivi dei reati di coazione, di sottrazione di minorenne, di minaccia, di lesioni semplici. Definizione di coazione commessa tramite "stalking". Criteri per la commisurazione della pena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</w:t>
      </w:r>
    </w:p>
    <w:p>
      <w:r>
        <w:rPr>
          <w:b/>
        </w:rPr>
        <w:t>E. 4</w:t>
      </w:r>
    </w:p>
    <w:p>
      <w:r>
        <w:t>Comunicazione a: P_GLOSS_TERZI Per la Corte di appello e di revisione penale La presidente                                                        Il segretario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