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17.2010.2 vom 13. August 2010</w:t>
      </w:r>
    </w:p>
    <w:p>
      <w:r>
        <w:t>TI Tribunale d'appello, 2010-08-13, IT</w:t>
      </w:r>
    </w:p>
    <w:p>
      <w:r>
        <w:rPr>
          <w:b/>
        </w:rPr>
        <w:t xml:space="preserve">Quelle: </w:t>
      </w:r>
      <w:r>
        <w:t>https://mcp.opencaselaw.ch/entscheid/ti_gerichte_17.2010.2_d20100813</w:t>
      </w:r>
    </w:p>
    <w:p>
      <w:r>
        <w:t>FR: TI_GERICHTE 17.2010.2 du 13 août 2010</w:t>
      </w:r>
    </w:p>
    <w:p>
      <w:r>
        <w:t>IT: TI_GERICHTE 17.2010.2 del 13 agosto 2010</w:t>
      </w:r>
    </w:p>
    <w:p>
      <w:pPr>
        <w:pStyle w:val="Heading2"/>
      </w:pPr>
      <w:r>
        <w:t>Regeste</w:t>
      </w:r>
    </w:p>
    <w:p>
      <w:r>
        <w:t>L'opposizione all'uso dibattimentale delle risultanze scritte dell'istruzione formale (art. 227 cpv. 2 CPP) non deve essere motivata. Se formulata essa ha quale effetto l'obbligo per il giudice di assumere durante il dibattimento le prove necessarie al giudizio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l’art. 288 CPP, il ricorso per cassazione può essere presentato per errata applicazione del diritto sostanziale ai fatti posti a base della sentenza (lett. a), per vizi essenziali di procedura, purché il ricorrente abbia eccepito l’irregolarità non appena possibile (lett. b) e per arbitrio nell’accertamento dei fatti (lett. c). L'accertamento dei fatti e la valutazione delle prove sono censurabili unicamente per arbitrio (art. 288 lett. c e 295 cpv. 1 CPP) ritenuto che arbitrario non significa manchevole, discutibile o finanche inesatto, bensì manifestamente insostenibile, destituito di fondamento serio e oggettivo, in aperto contrasto con gli atti (DTF 133 I 149 consid. 3.1 pag. 153, 132 I 13 consid. 5.1 pag. 17, 131 I 217 consid. 2.1 pag. 219, 129 I 173 consid. 3.1 pag. 178 con richiami) o basato unilateralmente su talune prove a esclusione di tutte le altre (DTF 118 Ia 28 consid. 2b pag. 30, 112 Ia consid.</w:t>
      </w:r>
    </w:p>
    <w:p>
      <w:r>
        <w:rPr>
          <w:b/>
        </w:rPr>
        <w:t>E. 3</w:t>
      </w:r>
    </w:p>
    <w:p>
      <w:r>
        <w:t>Intimazione a: P_GLOSS_TERZI Per la Corte di cassazione e di revisione penale La presidente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