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17.2009.26 vom 27. November 2009</w:t>
      </w:r>
    </w:p>
    <w:p>
      <w:r>
        <w:t>TI Tribunale d'appello, 2009-11-27, IT</w:t>
      </w:r>
    </w:p>
    <w:p>
      <w:r>
        <w:rPr>
          <w:b/>
        </w:rPr>
        <w:t xml:space="preserve">Quelle: </w:t>
      </w:r>
      <w:r>
        <w:t>https://mcp.opencaselaw.ch/entscheid/ti_gerichte_17.2009.26</w:t>
      </w:r>
    </w:p>
    <w:p>
      <w:r>
        <w:t>FR: TI_GERICHTE 17.2009.26 du 27 novembre 2009</w:t>
      </w:r>
    </w:p>
    <w:p>
      <w:r>
        <w:t>IT: TI_GERICHTE 17.2009.26 del 27 novembre 2009</w:t>
      </w:r>
    </w:p>
    <w:p>
      <w:pPr>
        <w:pStyle w:val="Heading2"/>
      </w:pPr>
      <w:r>
        <w:t>Regeste</w:t>
      </w:r>
    </w:p>
    <w:p>
      <w:r>
        <w:t>Vizio essenziale di procedura, violazione del principio accusatorio. Condanna dell'imputato per una fattispecie diversa da quella del decreto d'accusa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Intimazione a: P_GLOSS_TERZI Per la Corte di cassazione e di revisione penale La presidente                                              La segretaria Rimedi giuridici Contro decisioni finali, contro decisioni parziali, contro decisioni pregiudiziali e incidentali sulla competenza e la ricusazione e contro altre decisioni pregiudiziali e incidentali (art. 90 a 93 LTF) è dato, entro trenta giorni dalla notificazione del testo integrale della decisione (art. 100 cpv. 1 LTF), il ricorso in materia penale al Tribunale federale, 1000 Losanna 14, per i motivi previsti dagli art. 95 a 98 LTF (art. 78 LTF). La legittimazione a ricorrere è disciplinata dall'art. 81 LTF. Laddove non sia ammissibile il ricorso in materia penale è dato, entro lo stesso termine, il ricorso sussidiario in materia costituzionale al Tribunale federale per i motivi previsti dall’art. 116 LTF (art. 113 LTF). La legittimazione a ricorrere è disciplinata in tal caso dall’art.115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