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17.2008.57 vom 17. Juli 2007</w:t>
      </w:r>
    </w:p>
    <w:p>
      <w:r>
        <w:t>TI Tribunale d'appello, 2007-07-17, IT</w:t>
      </w:r>
    </w:p>
    <w:p>
      <w:r>
        <w:rPr>
          <w:b/>
        </w:rPr>
        <w:t xml:space="preserve">Quelle: </w:t>
      </w:r>
      <w:r>
        <w:t>https://mcp.opencaselaw.ch/entscheid/ti_gerichte_17.2008.57_d20070717</w:t>
      </w:r>
    </w:p>
    <w:p>
      <w:r>
        <w:t>FR: TI_GERICHTE 17.2008.57 du 17 juillet 2007</w:t>
      </w:r>
    </w:p>
    <w:p>
      <w:r>
        <w:t>IT: TI_GERICHTE 17.2008.57 del 17 luglio 2007</w:t>
      </w:r>
    </w:p>
    <w:p>
      <w:pPr>
        <w:pStyle w:val="Heading2"/>
      </w:pPr>
      <w:r>
        <w:t>Regeste</w:t>
      </w:r>
    </w:p>
    <w:p>
      <w:r>
        <w:t>Carente diligenza in operazioni finanziarie. Prescrizione e lex mitior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 dispositivi n. 2 e 2.1 e 2.2 della sentenza impugnata riferiti al ricorrente sono annullati.</w:t>
      </w:r>
    </w:p>
    <w:p>
      <w:r>
        <w:rPr>
          <w:b/>
        </w:rPr>
        <w:t>E. 3</w:t>
      </w:r>
    </w:p>
    <w:p>
      <w:r>
        <w:t>Intimazione a: P_GLOSS_TERZI Per la Corte di cassazione e di revisione penale La presidente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