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17.2004.34 vom 17. Juni 2004</w:t>
      </w:r>
    </w:p>
    <w:p>
      <w:r>
        <w:t>TI Tribunale d'appello, 2004-06-17, IT</w:t>
      </w:r>
    </w:p>
    <w:p>
      <w:r>
        <w:rPr>
          <w:b/>
        </w:rPr>
        <w:t xml:space="preserve">Quelle: </w:t>
      </w:r>
      <w:r>
        <w:t>https://mcp.opencaselaw.ch/entscheid/ti_gerichte_17.2004.34</w:t>
      </w:r>
    </w:p>
    <w:p>
      <w:r>
        <w:t>FR: TI_GERICHTE 17.2004.34 du 17 juin 2004</w:t>
      </w:r>
    </w:p>
    <w:p>
      <w:r>
        <w:t>IT: TI_GERICHTE 17.2004.34 del 17 giugno 2004</w:t>
      </w:r>
    </w:p>
    <w:p>
      <w:pPr>
        <w:pStyle w:val="Heading2"/>
      </w:pPr>
      <w:r>
        <w:t>Regeste</w:t>
      </w:r>
    </w:p>
    <w:p>
      <w:r>
        <w:t>mancata opposizione a pubblicazione punibile - diritto del responsabile del mezzo di informazione di aapportare la prova della verità o (ove questa non riuscisse) una prova liberatoria della buona fede, in analogia con il dettato dell'art. 173 n. 2 CP - condizioni</w:t>
      </w:r>
    </w:p>
    <w:p>
      <w:pPr>
        <w:pStyle w:val="Heading2"/>
      </w:pPr>
      <w:r>
        <w:t>Erwägungen</w:t>
      </w:r>
    </w:p>
    <w:p>
      <w:r>
        <w:rPr>
          <w:b/>
        </w:rPr>
        <w:t>E. 15</w:t>
      </w:r>
    </w:p>
    <w:p>
      <w:r>
        <w:t>cpv. 2 CPP); che l'arch. __________, l'avv. __________ e __________ vanno tenuti invece a rifondere al ricorrente un'equa indennità per ripetibili (art. 9 cpv. 6 CPP), il reato dell'art. 322 bis CP potendo essere perseguito d'ufficio solo ove sia stato previamente querelato l'autore della pubblicazione punibile, rimasto ignoto o non perseguibile in Svizzera (sentenza del Tribunale federale, consid. 2.3), sicché i tre vanno assimilati a resistenti privati; pronuncia: 1. Il ricorso è accolto, la sentenza impugnata è annullata e gli atti sono ritrasmessi alla Pretura penale per nuovo giudizio nel senso dei considerandi. 2. Non si riscuotono tasse o spese. L'arch. __________, l'avv. __________ e __________ rifonderanno al ricorrente un'indennità di fr. 3000.– complessivi per ripetibili. 3. Intimazione: –    __________; –    avv. __________; –    Ministero Pubblico, Lugano; – Pretura penale, via Gaggini 1, Bellinzona; – Pretura del Distretto di Bellinzona, Bellinzona –    Comando della polizia cantonale, SG/SC (Servizi centrali), Bellinzona; –    Servizio di Coordinamento cantonale in materia di casellario giudiziale, Bellinzona; –    arch. __________ (parte civile); –    avv. __________ (patrocinatore di parte civile); –    __________ (parte civile); –    __________ (parte civile); –    avv. __________ (patrocinatore di parte civile); –    __________ (parte civile); –    avv. __________ (patrocinatore di parte civile). terzi implicati 1. PC 1 1 rappr. da:   RC 1 2. PC 2 2 rappr. da:   RC 2 3. PC 3 3 rappr. da:   RC 3 4. PC 4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dal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