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17.2004.31 vom 15. Juni 2004</w:t>
      </w:r>
    </w:p>
    <w:p>
      <w:r>
        <w:t>TI Tribunale d'appello, 2004-06-15, IT</w:t>
      </w:r>
    </w:p>
    <w:p>
      <w:r>
        <w:rPr>
          <w:b/>
        </w:rPr>
        <w:t xml:space="preserve">Quelle: </w:t>
      </w:r>
      <w:r>
        <w:t>https://mcp.opencaselaw.ch/entscheid/ti_gerichte_17.2004.31_d20040615</w:t>
      </w:r>
    </w:p>
    <w:p>
      <w:r>
        <w:t>FR: TI_GERICHTE 17.2004.31 du 15 juin 2004</w:t>
      </w:r>
    </w:p>
    <w:p>
      <w:r>
        <w:t>IT: TI_GERICHTE 17.2004.31 del 15 giugno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Gli oneri processuali, consistenti in: a) tassa di giustizia      fr. 500.– b) spese                         fr. 100.– fr. 600.– sono posti a carico del ricorrente.</w:t>
      </w:r>
    </w:p>
    <w:p>
      <w:r>
        <w:rPr>
          <w:b/>
        </w:rPr>
        <w:t>E. 3</w:t>
      </w:r>
    </w:p>
    <w:p>
      <w:r>
        <w:t>Intimazione a: –  __________; –  avv. __________; –  Procuratore pubblico __________; –  Pretura penale, Bellinzona; –  Ministero pubblico della Confederazione, Berna; –  Comando della polizia cantonale, SG/SC (Servizi centrali), Bellinzona; –  Sezione dei permessi e dell'immigrazione, Ufficio giuridico, Bellinzona; –  Servizio coordinamento cantonale in materia di casellario giudiziale, Bellinzona; –  Dipartimento delle istituzioni, Ufficio esecuzione pene e misure, Taverne; –  Ufficio dei Giudici dell'istruzione e dell'arresto, Lugano; –  Eredi fu __________, per il tramite dell'avv. __________ (parte civile); –  avv. __________ (rappr. parte civile). Terzi implicati PC1 rappr. da: RC1 Per la Corte di cassazione e di revisione penale Il presidente                                                           Il segretario ______________________________________________________________________________________________________­­___ Mezzi di ricorso Questo giudizio può essere impugnato mediante ricorso per cassazione al Tribunale federale unicamente per violazione del diritto federale (art. 269 cpv. 1 PP). Il ricorso per cassazione dev'essere depositato presso il Tribunale federale entro 30 giorni dalla notifica del testo integrale della decisione. La legittimazione e le altre condizioni per proporre ricorso per cassazione sono regolate dagli art. 268 segg. 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