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17.2003.52 vom 22. September 2003</w:t>
      </w:r>
    </w:p>
    <w:p>
      <w:r>
        <w:t>TI Tribunale d'appello, 2003-09-22, IT</w:t>
      </w:r>
    </w:p>
    <w:p>
      <w:r>
        <w:rPr>
          <w:b/>
        </w:rPr>
        <w:t xml:space="preserve">Quelle: </w:t>
      </w:r>
      <w:r>
        <w:t>https://mcp.opencaselaw.ch/entscheid/ti_gerichte_17.2003.52_d20030922</w:t>
      </w:r>
    </w:p>
    <w:p>
      <w:r>
        <w:t>FR: TI_GERICHTE 17.2003.52 du 22 septembre 2003</w:t>
      </w:r>
    </w:p>
    <w:p>
      <w:r>
        <w:t>IT: TI_GERICHTE 17.2003.52 del 22 settembre 2003</w:t>
      </w:r>
    </w:p>
    <w:p>
      <w:pPr>
        <w:pStyle w:val="Heading2"/>
      </w:pPr>
      <w:r>
        <w:t>Regeste</w:t>
      </w:r>
    </w:p>
    <w:p>
      <w:r>
        <w:t>Sentenza o decisione senza scheda</w:t>
      </w:r>
    </w:p>
    <w:p>
      <w:pPr>
        <w:pStyle w:val="Heading2"/>
      </w:pPr>
      <w:r>
        <w:t>Erwägungen</w:t>
      </w:r>
    </w:p>
    <w:p>
      <w:r>
        <w:rPr>
          <w:b/>
        </w:rPr>
        <w:t>E. 6</w:t>
      </w:r>
    </w:p>
    <w:p>
      <w:r>
        <w:t>Da quanto precede discende che l'istanza di revisione, proposta invero con leggerezza, deve essere respinta. Gli oneri processuali seguono la soccombenza, ossia sono posti a carico dell'istante (art. 15 cpv. 1 CPP). Con la presente decisione diventa caduca la richiesta volta alla sospensione dell’esecutività delle sentenze pretorili. Per questi motivi, in applicazione dell'art. 291 cpv. 1 CP in virtù del rinvio di cui all'art. 301 cpv. 2 CPP, richiamata per le spese la LTG Pronuncia:                     1. L'istanza di revisione è respinta. 2. Gli oneri processuali, consistenti in: a) tassa di giustizia              fr. 500.– b) spese                                fr.   50.– fr. 550.– sono posti a carico dell'istante. 3. Comunicazione: –   __________; –   avv. __________; –   Procuratore pubblico avv. __________; –   Ufficio del sostegno sociale e dell'inserimento, Bellinzona; –   Pretore del Distretto di Bellinzona; –   Comando della polizia cantonale, 6501 Bellinzona; –   Dipartimento delle istituzioni, Casellario giudiziale, Servizio di coordinamento Cantone Ticino, viale Franscini 3, 6500 Bellinzona; –   Dipartimento delle istituzioni, Ufficio esecuzione pene e misure, casella postale 238, 6807 Taverne.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