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17.2003.48 vom 29. Dezember 2004</w:t>
      </w:r>
    </w:p>
    <w:p>
      <w:r>
        <w:t>TI Tribunale d'appello, 2004-12-29, IT</w:t>
      </w:r>
    </w:p>
    <w:p>
      <w:r>
        <w:rPr>
          <w:b/>
        </w:rPr>
        <w:t xml:space="preserve">Quelle: </w:t>
      </w:r>
      <w:r>
        <w:t>https://mcp.opencaselaw.ch/entscheid/ti_gerichte_17.2003.48</w:t>
      </w:r>
    </w:p>
    <w:p>
      <w:r>
        <w:t>FR: TI_GERICHTE 17.2003.48 du 29 décembre 2004</w:t>
      </w:r>
    </w:p>
    <w:p>
      <w:r>
        <w:t>IT: TI_GERICHTE 17.2003.48 del 29 dicembre 2004</w:t>
      </w:r>
    </w:p>
    <w:p>
      <w:pPr>
        <w:pStyle w:val="Heading2"/>
      </w:pPr>
      <w:r>
        <w:t>Regeste</w:t>
      </w:r>
    </w:p>
    <w:p>
      <w:r>
        <w:t>guida in stato di ebrietà - commisurazione della pena - criteri - motivazione - potere di cognizione della Corte di cassazione e di revisione penale</w:t>
      </w:r>
    </w:p>
    <w:p>
      <w:pPr>
        <w:pStyle w:val="Heading2"/>
      </w:pPr>
      <w:r>
        <w:t>Erwägungen</w:t>
      </w:r>
    </w:p>
    <w:p>
      <w:r>
        <w:rPr>
          <w:b/>
        </w:rPr>
        <w:t>E. 6</w:t>
      </w:r>
    </w:p>
    <w:p>
      <w:r>
        <w:t>Argomentando nel modo appena riassunto, il Procuratore pubblico non si confronta tuttavia con le motivazioni che hanno spinto il primo giudice a usare clemenza. Si è visto poc'anzi che, per il primo giudice, già il tasso alcolico riscontrato nel sangue dell'accusato c'anzi che, per il primo giudice, tita dall'imputato poco importa, giustificava la sola multa (circostanza non contestata dal Procuratore pubblico). Inoltre l'interessato aveva ammesso di avere sbagliato fidandosi delle proprie sensazioni al momento di porsi alla guida, riconoscendo il proprio errore. Il giudice della Pretura penale non ha mancato di soffermarsi nemmeno sui precedenti evocati nel ricorso né sulla reputazione del soggetto, non considerandoli di ostacolo a un giudizio benevolo, l'accusato meritando comprensione per avere mostrato chiari segnali di ravvedimento dopo le ripetute condanne per reati in materia di stupefacenti. Trovato un solido posto di lavoro come contabile presso una ditta a Lugano, egli ha saputo conquistare la fiducia dei superiori, che gli hanno affidato l'intero settore contabile e lo hanno spesso mandato all'estero. Una pena detentiva nuocerebbe a questo graduale reinserimento sociale, condizionato dal mantenimento del posto di lavoro, fondamentale per il definitivo addio al mondo della droga. Annettere troppo peso ai precedenti significherebbe – ha continuato il primo giudice – mortificare gli sforzi compiuti dall'imputato per liberarsi dalla tossicodipendenza. Tenuto conto anche del fatto che l'accusato non aveva mai subito condanne per guida in stato di ebrietà, il primo giudice ha limitato la condanna alla multa. Perché tali considerazioni e riflessioni non sarebbero sufficienti per giustificare la condanna alla sola sanzione pecuniaria di fr. 1000.– il ricorrente non spiega. Insufficientemente motivato al proposito, il ricorso va dunque dichiarato inammissibile.</w:t>
      </w:r>
    </w:p>
    <w:p>
      <w:r>
        <w:rPr>
          <w:b/>
        </w:rPr>
        <w:t>E. 7</w:t>
      </w:r>
    </w:p>
    <w:p>
      <w:r>
        <w:t>Gli oneri del giudizio odierno seguono la soccombenza dello Stato, che rifonderà a __________, il quale ha presentato osservazioni al ricorso tramite un legale, un'indennità di fr. 1000.– per ripetibili (art. 9 cpv. 6 CPP).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