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17.2003.40 vom 30. Juli 2003</w:t>
      </w:r>
    </w:p>
    <w:p>
      <w:r>
        <w:t>TI Tribunale d'appello, 2003-07-30, IT</w:t>
      </w:r>
    </w:p>
    <w:p>
      <w:r>
        <w:rPr>
          <w:b/>
        </w:rPr>
        <w:t xml:space="preserve">Quelle: </w:t>
      </w:r>
      <w:r>
        <w:t>https://mcp.opencaselaw.ch/entscheid/ti_gerichte_17.2003.40_d20030730</w:t>
      </w:r>
    </w:p>
    <w:p>
      <w:r>
        <w:t>FR: TI_GERICHTE 17.2003.40 du 30 juillet 2003</w:t>
      </w:r>
    </w:p>
    <w:p>
      <w:r>
        <w:t>IT: TI_GERICHTE 17.2003.40 del 30 luglio 2003</w:t>
      </w:r>
    </w:p>
    <w:p>
      <w:pPr>
        <w:pStyle w:val="Heading2"/>
      </w:pPr>
      <w:r>
        <w:t>Regeste</w:t>
      </w:r>
    </w:p>
    <w:p>
      <w:r>
        <w:t>Sentenza o decisione senza scheda</w:t>
      </w:r>
    </w:p>
    <w:p>
      <w:pPr>
        <w:pStyle w:val="Heading2"/>
      </w:pPr>
      <w:r>
        <w:t>Erwägungen</w:t>
      </w:r>
    </w:p>
    <w:p>
      <w:r>
        <w:rPr>
          <w:b/>
        </w:rPr>
        <w:t>E. 5</w:t>
      </w:r>
    </w:p>
    <w:p>
      <w:r>
        <w:t>gior­ni per inoltrare la dichiarazione di ricorso era ormai scaduto; che tuttavia, come questa Corte ha già avuto modo di ripetere, in caso di contumacia non incombe al giudice raggiungere il condannato per comunicargli i dispositivi della sentenza, esporgli i motivi essenziali della decisione e indicargli i rimedi giuridici (art. 276 cpv. 1 e 2 CPP), bensì all'assente ingiustificato che ha ricevuto la citazione al dibattimento informarsi con tempestività del verdetto e dei modi per impugnarlo, foss'anche solo per contestare la dichiarazione di contumacia (CCRP, sentenza inc. 17.2003.29 del 15 luglio 2003, consid. 2 e 3); che in concreto __________ non ha presentato alcuna dichiarazione di ricorso nei 5 giorni successivi alla decisione emanata dal presidente della Pretura penale; che, del resto, nulla induce a supporre un'impossibilità da parte sua, ove appena si consideri che quello stesso 16 giugno 2003 egli aveva fatto pervenire alla Pretura penale l'istanza di rinvio redatta di proprio pugno; che nell'integrazione al “ricorso”, del 28 luglio 2003, egli assevera per vero di avere telefonato alla Pretura senza ricevere informazioni orali, ma non pretende di avere inviato subito una semplice richiesta scritta, come la Pretura lo aveva invitato a fare; che nelle condizioni descritte il ricorso per cassazione, non preceduto da alcuna dichiarazione a norma dell'art. 289 cpv. 1 CPP (cui rinvia l'art. 278 cpv. 2 CPP), va dichiarato d'acchito irricevibile; che la tassa di giustizia e le spese seguirebbero la soccombenza (art. 15 cpv. 1 e 9 cpv. 1 CPP), ma che per le particolarità del caso si può prescindere – in via eccezionale – da ogni prelievo, fermo restando che nell'ipotesi di altri ricorsi improponibili o infondati l'interessato non potrà più contare su simile provvidenza; in applicazione dell'art. 291 cpv. 1 CPP, pronuncia:              1. Il ricorso è inammissibile. 2. Non si riscuotono tasse né spese. 3. Intimazione: –    __________; –    avv. __________; –    Procuratore pubblico __________; –    Procuratore pubblico __________; –    Procuratore pubblico __________; –    Pretura penale, via dei Gaggini 1, Bellinzona, –    Comando della polizia cantonale, SG/SC (Servizi centrali), 6501 Bellinzona; –    Dipartimento delle istituzioni, Ufficio esecuzione pene e misure, casella postale 238, 6807 Taverne; –    Servizio di Coordinamento cantonale in materia di casellario giudiziale, Bellinzona; –    Ufficio dei Giudici dell'istruzione e dell'arresto, Lugano. –    __________ (parte civile); –    __________ (parte civile); –    avv. __________ ( rappresentante di parte civile). Per la Corte di cassazione e di revisione penale Il presidente                                                           Il segretario Mezzi di ricorso Questa sentenza può essere impugnata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e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