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17.2002.9 vom 7. März 2002</w:t>
      </w:r>
    </w:p>
    <w:p>
      <w:r>
        <w:t>TI Tribunale d'appello, 2002-03-07, IT</w:t>
      </w:r>
    </w:p>
    <w:p>
      <w:r>
        <w:rPr>
          <w:b/>
        </w:rPr>
        <w:t xml:space="preserve">Quelle: </w:t>
      </w:r>
      <w:r>
        <w:t>https://mcp.opencaselaw.ch/entscheid/ti_gerichte_17.2002.9</w:t>
      </w:r>
    </w:p>
    <w:p>
      <w:r>
        <w:t>FR: TI_GERICHTE 17.2002.9 du 7 mars 2002</w:t>
      </w:r>
    </w:p>
    <w:p>
      <w:r>
        <w:t>IT: TI_GERICHTE 17.2002.9 del 7 marzo 2002</w:t>
      </w:r>
    </w:p>
    <w:p>
      <w:pPr>
        <w:pStyle w:val="Heading2"/>
      </w:pPr>
      <w:r>
        <w:t>Regeste</w:t>
      </w:r>
    </w:p>
    <w:p>
      <w:r>
        <w:t>Sentenza o decisione senza scheda</w:t>
      </w:r>
    </w:p>
    <w:p>
      <w:pPr>
        <w:pStyle w:val="Heading2"/>
      </w:pPr>
      <w:r>
        <w:t>Erwägungen</w:t>
      </w:r>
    </w:p>
    <w:p>
      <w:r>
        <w:rPr>
          <w:b/>
        </w:rPr>
        <w:t>E. 2</w:t>
      </w:r>
    </w:p>
    <w:p>
      <w:r>
        <w:t>Gli oneri processuali, consistenti in: a) tassa di giustizia      fr. 350.– b) spese                         fr. 100.– fr. 450.– sono posti a carico della ricorrente.</w:t>
      </w:r>
    </w:p>
    <w:p>
      <w:r>
        <w:rPr>
          <w:b/>
        </w:rPr>
        <w:t>E. 3</w:t>
      </w:r>
    </w:p>
    <w:p>
      <w:r>
        <w:t>Intimazione a: – __________; – avv. __________; – Ministero pubblico, Lugano; – __________; – lic. iur. __________; – Comando della polizia cantonale, Bellinzona; – Pretore del Distretto di Bellinzona;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