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17.2002.6 vom 12. Februar 2002</w:t>
      </w:r>
    </w:p>
    <w:p>
      <w:r>
        <w:t>TI Tribunale d'appello, 2002-02-12, IT</w:t>
      </w:r>
    </w:p>
    <w:p>
      <w:r>
        <w:rPr>
          <w:b/>
        </w:rPr>
        <w:t xml:space="preserve">Quelle: </w:t>
      </w:r>
      <w:r>
        <w:t>https://mcp.opencaselaw.ch/entscheid/ti_gerichte_17.2002.6</w:t>
      </w:r>
    </w:p>
    <w:p>
      <w:r>
        <w:t>FR: TI_GERICHTE 17.2002.6 du 12 février 2002</w:t>
      </w:r>
    </w:p>
    <w:p>
      <w:r>
        <w:t>IT: TI_GERICHTE 17.2002.6 del 12 febbraio 2002</w:t>
      </w:r>
    </w:p>
    <w:p>
      <w:pPr>
        <w:pStyle w:val="Heading2"/>
      </w:pPr>
      <w:r>
        <w:t>Regeste</w:t>
      </w:r>
    </w:p>
    <w:p>
      <w:r>
        <w:t>Sentenza o decisione senza scheda</w:t>
      </w:r>
    </w:p>
    <w:p>
      <w:pPr>
        <w:pStyle w:val="Heading2"/>
      </w:pPr>
      <w:r>
        <w:t>Erwägungen</w:t>
      </w:r>
    </w:p>
    <w:p>
      <w:r>
        <w:rPr>
          <w:b/>
        </w:rPr>
        <w:t>E. 2</w:t>
      </w:r>
    </w:p>
    <w:p>
      <w:r>
        <w:t>Non si riscuotono tasse né spese.</w:t>
      </w:r>
    </w:p>
    <w:p>
      <w:r>
        <w:rPr>
          <w:b/>
        </w:rPr>
        <w:t>E. 3</w:t>
      </w:r>
    </w:p>
    <w:p>
      <w:r>
        <w:t>Intimazione a: – __________; – Ministero pubblico, Lugano; – Pretore della giurisdizione di Locarno-Città; – Dipartimento delle istituzioni, Casellario, Bellinzona; – Comando della polizia cantonale, Bellinzona; – __________ Per la Corte di cassazione e di revisione penale Il presidente                                                           Il segretario Mezzi di ricorso: Questo giudizio può essere impugnato mediante ricorso per cassazione al Tribunale federale unicamente per violazione del diritto federale (art. 269 cpv. 1 PP). Il ricorso per cassazione deve essere depositato presso il Tribunale federale entro 30 giorni dalla notifica del testo integrale della decisione. La legittimazione nonché le altre condizioni per proporre ricorso per cassazione sono regolate dagli art. 268 segg. 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