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17.2002.55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https://mcp.opencaselaw.ch/entscheid/ti_gerichte_17.2002.55</w:t>
      </w:r>
    </w:p>
    <w:p>
      <w:r>
        <w:t>FR: TI_GERICHTE 17.2002.55 du 4 février 2003</w:t>
      </w:r>
    </w:p>
    <w:p>
      <w:r>
        <w:t>IT: TI_GERICHTE 17.2002.55 del 4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CEDU ( Trechsel , loc. cit. con riferimenti). Di tale presunzione l'imputato ha comunque potuto beneficiare – pienamente, se non abbondantemente – nel giudizio sul riciclaggio di denaro relativo alle lire italiane e ai marchi tedeschi, dalla cui accusa è stato prosciolto per non essere riuscito il Procuratore pubblico, cui incombeva questa volta l'onere della prova (a differenza del caso previsto dall'art. 59 n.</w:t>
      </w:r>
    </w:p>
    <w:p>
      <w:r>
        <w:rPr>
          <w:b/>
        </w:rPr>
        <w:t>E. 3</w:t>
      </w:r>
    </w:p>
    <w:p>
      <w:r>
        <w:t>Stando al ricorrente, la prima Corte sarebbe caduta in arbitrio nella valutazione degli elementi da lui forniti per dimostrare l'avvenuta restituzione delle somme in lire italiane e in marchi tedeschi confluiti sul conto __________. Se non che, nella motivazione della censura egli perde di vista il potere cognitivo della Corte di cassazione e di revisione penale chiamata a sindacare un ricorso fondato sul divieto dell'arbitrio. La Corte di assise ha spiegato diffusamente (sentenza, consid. 19.1 a 19.4), dopo avere accer­tato che l'imputato aveva appartenuto a un'organizzazione criminale nel senso dell'art. 260 ter CP (sentenza, pag. 19 con riferimento a SJ 1997 pag. 1 segg.), perché costui non era riu­scito a provare che quanto risultava depositato in lire e in marchi sul conto bancario era sottratto al potere di disporre dell'organizzazione e che si trattava invece di denaro suo, di provenien­za lecita (come esige la dottrina: Trechsel , loc. cit.). Anziché illustrare dove risiederebbe il preteso arbitrio e perché ne ricorrano gli estremi, il ricorrente si limita a ribadire il proprio punto di vista con argomentazioni e ragionamenti di chiara natura appellatoria. In particolare, egli insiste nel contrapporre la propria versione dei fatti e i propri apprezzamenti a quelli della prima Corte con una serie di considerazioni e di deduzioni alternative, come se la Corte di cassazione e di revisione penale fosse un'autorità di appello abilitata a rivedere liberamente anche gli accertamenti di fatti e la valutazione delle prove. Così formulato, il ricorso non adempie lontanamente i requisiti di un ricorso per cassazione fondato sul divieto dell'arbitrio. A tale riguardo deve perciò essere dichiarato inammissibile.</w:t>
      </w:r>
    </w:p>
    <w:p>
      <w:r>
        <w:rPr>
          <w:b/>
        </w:rPr>
        <w:t>E. 4</w:t>
      </w:r>
    </w:p>
    <w:p>
      <w:r>
        <w:t>Gli oneri processuali seguono la soccombenza (art. 15 cpv. 1 e 9 cpv. 1 CPP). Per questi motivi, vista sulle spese anche la tariffa giudiziaria, pronuncia:           1. Nella misura in cui è ammissibile, il ricorso è respinto. 2. Gli oneri processuali, consistenti in: a) tassa di giustizia      fr.    900.– b) spese                         fr.    100.– fr. 1'000.– sono posti a carico del ricorrente. 3. Intimazione a: –    __________, c/o avv. __________; –    avv. __________, c/o avv. __________; –    Procuratore pubblico avv. __________; –    Corte delle assise criminali in Mendrisio; –    Comando della polizia cantonale, 6501 Bellinzona; –    Ministero pubblico, SERCO, 6501 Bellinzona; –    Dipartimento delle istituzioni, Ufficio esecuzione pene e misure, casella postale 238, 6807 Taverne; –    Ufficio giuridico della circolazione, 6528 Camorino; –    Ufficio cantonale degli stranieri, 6501 Bellinzona; –    Ministero pubblico della Confederazione, 3003 Berna; –    Ufficio centrale svizzero di polizia, Sezione stupefacenti, 3003 Berna. Per la Corte di cassazione e di revisione penale Il presidente                                                            Il segretario N.B.: L’indicazione dei rimedi di diritto è avvenuta con la comunicazione del dispositivo.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