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17.2000.32 vom 23. November 2000</w:t>
      </w:r>
    </w:p>
    <w:p>
      <w:r>
        <w:t>TI Tribunale d'appello, 2000-11-23, IT</w:t>
      </w:r>
    </w:p>
    <w:p>
      <w:r>
        <w:rPr>
          <w:b/>
        </w:rPr>
        <w:t xml:space="preserve">Quelle: </w:t>
      </w:r>
      <w:r>
        <w:t>https://mcp.opencaselaw.ch/entscheid/ti_gerichte_17.2000.32</w:t>
      </w:r>
    </w:p>
    <w:p>
      <w:r>
        <w:t>FR: TI_GERICHTE 17.2000.32 du 23 novembre 2000</w:t>
      </w:r>
    </w:p>
    <w:p>
      <w:r>
        <w:t>IT: TI_GERICHTE 17.2000.32 del 23 novembre 2000</w:t>
      </w:r>
    </w:p>
    <w:p>
      <w:pPr>
        <w:pStyle w:val="Heading2"/>
      </w:pPr>
      <w:r>
        <w:t>Regeste</w:t>
      </w:r>
    </w:p>
    <w:p>
      <w:r>
        <w:t>Sentenza o decisione senza scheda</w:t>
      </w:r>
    </w:p>
    <w:p>
      <w:pPr>
        <w:pStyle w:val="Heading2"/>
      </w:pPr>
      <w:r>
        <w:t>Erwägungen</w:t>
      </w:r>
    </w:p>
    <w:p>
      <w:r>
        <w:rPr>
          <w:b/>
        </w:rPr>
        <w:t>E. 5</w:t>
      </w:r>
    </w:p>
    <w:p>
      <w:r>
        <w:t>dicembre 1995, condannandolo invece nel procedimento attuale non denota parzialità alcuna; che nelle circostanze descritte, nella misura in cui non è divenuto privo d'oggetto, il ricorso è manifestamente destinato all'insuccesso; che, vista la particolarità del caso (ricorso prematuro), in concreto si rinuncia eccezionalmente dal prelievo di tasse e spese; per questi motivi, in applicazione dell'art. 291 cpv. 1 CPP, pronuncia:           1. Nella misura in cui non è divenuto privo d'oggetto, il ricorso è respinto. 2. Non si riscuotono spese. 3. Intimazione a: – __________; – Ministero pubblico, Lugano; – Pretore del Distretto di Lugano, sezione 4.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