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17.2000.23 vom 21. Juni 2000</w:t>
      </w:r>
    </w:p>
    <w:p>
      <w:r>
        <w:t>TI Tribunale d'appello, 2000-06-21, IT</w:t>
      </w:r>
    </w:p>
    <w:p>
      <w:r>
        <w:rPr>
          <w:b/>
        </w:rPr>
        <w:t xml:space="preserve">Quelle: </w:t>
      </w:r>
      <w:r>
        <w:t>https://mcp.opencaselaw.ch/entscheid/ti_gerichte_17.2000.23</w:t>
      </w:r>
    </w:p>
    <w:p>
      <w:r>
        <w:t>FR: TI_GERICHTE 17.2000.23 du 21 juin 2000</w:t>
      </w:r>
    </w:p>
    <w:p>
      <w:r>
        <w:t>IT: TI_GERICHTE 17.2000.23 del 21 giugno 2000</w:t>
      </w:r>
    </w:p>
    <w:p>
      <w:pPr>
        <w:pStyle w:val="Heading2"/>
      </w:pPr>
      <w:r>
        <w:t>Regeste</w:t>
      </w:r>
    </w:p>
    <w:p>
      <w:r>
        <w:t>Sentenza o decisione senza scheda</w:t>
      </w:r>
    </w:p>
    <w:p>
      <w:pPr>
        <w:pStyle w:val="Heading2"/>
      </w:pPr>
      <w:r>
        <w:t>Erwägungen</w:t>
      </w:r>
    </w:p>
    <w:p>
      <w:r>
        <w:rPr>
          <w:b/>
        </w:rPr>
        <w:t>E. 1</w:t>
      </w:r>
    </w:p>
    <w:p>
      <w:r>
        <w:t>CPP) di ricorrere alla Corte di cassazione e di revisione penale contro la sentenza di assise, impedendone in tal modo il passaggio in giudicato, né era intervenuta quando alle parti è stata intimata la sentenza motivata, il 2 maggio 2000; che la prescrizione assoluta si è compiuta invece poco dopo, il 14 maggio 2000, comunque prima che il termine di 20 giorni per presentare le motivazioni scritte del ricorso per cassazione venisse a scadere (art. 289 cpv. 2 CPP); che benché tempestivo, il ricorso non può pertanto essere esaminato nel merito, l'intervenuta prescrizione dell'azione penale (accertabile d'ufficio, trattandosi di un presupposto processuale) comportandone l'inammissibilità (cfr. DTF 116 IV 80); che, data la particolarità del caso, si prescinde eccezionalmente dal riscuotere spese e tassa di giustizia; per questi motivi, pronuncia:           1. Il ricorso è inammissibile.</w:t>
      </w:r>
    </w:p>
    <w:p>
      <w:r>
        <w:rPr>
          <w:b/>
        </w:rPr>
        <w:t>E. 2</w:t>
      </w:r>
    </w:p>
    <w:p>
      <w:r>
        <w:t>Non si riscuotono tasse né spese.</w:t>
      </w:r>
    </w:p>
    <w:p>
      <w:r>
        <w:rPr>
          <w:b/>
        </w:rPr>
        <w:t>E. 3</w:t>
      </w:r>
    </w:p>
    <w:p>
      <w:r>
        <w:t>Intimazione: –      avv. __________ per sé e per i ricorrenti; –      __________; –      avv. __________; –      __________; –      avv. __________; –      Procuratore pubblico avv. __________; –      Corte delle assise correzionali di __________; –      Comando della polizia cantonale, 6501 Bellinzona; –      Dipartimento delle Istituzioni, Casellario, 6501 Bellinzona; –      Dipartimento delle Istituzioni, Ufficio esecuzione pene e misure, CP 238, 6807 Taverne. La Corte di cassazione e di revisione penale del Tribunale d’appello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