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16.2022.47 vom 14. November 2022</w:t>
      </w:r>
    </w:p>
    <w:p>
      <w:r>
        <w:t>TI Tribunale d'appello, 2022-11-14, IT</w:t>
      </w:r>
    </w:p>
    <w:p>
      <w:r>
        <w:rPr>
          <w:b/>
        </w:rPr>
        <w:t xml:space="preserve">Quelle: </w:t>
      </w:r>
      <w:r>
        <w:t>https://mcp.opencaselaw.ch/entscheid/ti_gerichte_16.2022.47</w:t>
      </w:r>
    </w:p>
    <w:p>
      <w:r>
        <w:t>FR: TI_GERICHTE 16.2022.47 du 14 novembre 2022</w:t>
      </w:r>
    </w:p>
    <w:p>
      <w:r>
        <w:t>IT: TI_GERICHTE 16.2022.47 del 14 novembre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CPC;</w:t>
      </w:r>
    </w:p>
    <w:p>
      <w:r>
        <w:t>che per costante giurisprudenza, un'autorizzazione ad agire noncostituisce una decisione impugnabile (DTF 141 III 163 consid. 2.1;140 III 229 consid. 2.1;sentenza 5A_359/2021 del 5 gennaio 2022 consid. 2.3.2; analogamente: RtiD I 2013 n. 43c pag. 814;CCR, sentenze inc. 16.2022.22 del 25 luglio 2022, inc. 16.2018.43del10 settembre 2018 e inc. 16.2018.35 del 2 agosto 2018);</w:t>
      </w:r>
    </w:p>
    <w:p>
      <w:r>
        <w:t>che, in tali circostanze, il reclamo (impropriamente denominatoappello)del 9 novembre 2022 di RE 1contro l'autorizzazione ad agire rilasciata dal Giudice di pace è irricevibile;</w:t>
      </w:r>
    </w:p>
    <w:p>
      <w:r>
        <w:t>cheirricevibile è altresì la domandavolta a obbligare l'avv. CO 1 a fare i passi necessari per chiudere e cancellare il precetto in essere,già solo perché in sede di reclamo non sono ammessenuove conclusioni(art. 326 cpv. 1 CPC);</w:t>
      </w:r>
    </w:p>
    <w:p>
      <w:r>
        <w:t>che in definitiva, il rimedio giuridico,manifestamente inammissibile, può essere deciso da questa Camera nella composizione di un giudice unico (art. 48bcpv. 1 lett. a n. 2 LOG);</w:t>
      </w:r>
    </w:p>
    <w:p>
      <w:r>
        <w:t>che le spese processuali seguirebbero la soccombenza (art. 106 cpv. 1 CPC) ma le circostanze del caso specifico inducono a rinunciare  eccezionalmente  a ogni prelievo,mentre non si pone problema di ripetibili alla controparte, alla quale il reclamo non è stato notificato per osservazioni.</w:t>
      </w:r>
    </w:p>
    <w:p>
      <w:r>
        <w:t>Per questi motivi,</w:t>
      </w:r>
    </w:p>
    <w:p>
      <w:r>
        <w:t>decide:1.   Il reclamo è irricevibile.</w:t>
      </w:r>
    </w:p>
    <w:p>
      <w:r>
        <w:t>2.   Non si riscuotono spese processuali.</w:t>
      </w:r>
    </w:p>
    <w:p>
      <w:r>
        <w:t> ;</w:t>
      </w:r>
    </w:p>
    <w:p>
      <w:r>
        <w:t> .</w:t>
      </w:r>
    </w:p>
    <w:p>
      <w:r>
        <w:t>Per la Camera civile dei reclami del Tribunale d'appello</w:t>
      </w:r>
    </w:p>
    <w:p>
      <w:r>
        <w:t>Il vicepresidente                                                   La vicecancelliera</w:t>
      </w:r>
    </w:p>
    <w:p>
      <w:r>
        <w:t>Rimedi giuridici</w:t>
      </w:r>
    </w:p>
    <w:p>
      <w:r>
        <w:t>Nelle cause di carattere pecuniario che non raggiungono il valore litigiosodi almeno 30 000. franchi(o almeno 15 000. franchi nelle controversie in materia di diritto del lavoro e di locazione), è ammissibile, entro trenta giorni dalla notificazione della decisione (art. 100 cpv. 1 LTF), il ricorso in materia civile al Tribunale federale, 1000 Losanna 14, per i motivi previsti dagli art. 95 a 98 LTF (art. 72 e 74 LTF), solo se la controversia concerne una questione di diritto di importanza fondamen­tale (art. 74 cpv. 2). La legittimazione a ricorrere è disciplinata dall'art. 76 LTF. Laddove non sia ammissibile il ricorso in materia civile è dato, entro lo stesso termine, il ricorso sussidiarioin materia costituzionale al Tribunale federaleper i motivi previstidall'art. 116 LTF (art. 113 LTF).La legittimazione a ricorrere è disciplinata in tal caso dall'art. 115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