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16.2022.19 vom 8. November 2023</w:t>
      </w:r>
    </w:p>
    <w:p>
      <w:r>
        <w:t>TI Tribunale d'appello, 2023-11-08, IT</w:t>
      </w:r>
    </w:p>
    <w:p>
      <w:r>
        <w:rPr>
          <w:b/>
        </w:rPr>
        <w:t xml:space="preserve">Quelle: </w:t>
      </w:r>
      <w:r>
        <w:t>https://mcp.opencaselaw.ch/entscheid/ti_gerichte_16.2022.19</w:t>
      </w:r>
    </w:p>
    <w:p>
      <w:r>
        <w:t>FR: TI_GERICHTE 16.2022.19 du 8 novembre 2023</w:t>
      </w:r>
    </w:p>
    <w:p>
      <w:r>
        <w:t>IT: TI_GERICHTE 16.2022.19 del 8 novembre 2023</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patrocinatrice della convenuta il 24 maggio 2022 (cfr. tracciamento degli invii po­stali n. 98.__________, agli atti). Introdotto il 23 giugno 2022 , 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esaminato anzitutto la questione di sapere se per l'applicazione del regolamento aziendale della P__________ SA, che sancisce il diritto del lavoratore a supplementi salariali in caso di lavoro a turni e straordinario, occorre l'adempimento cumulativo o alternativo delle condizioni poste all'art. 24 cpv. 2 CCL PP, ovvero il lavoro a turni e/o il lavoro domenicale istituzionalizzato. Tenuto conto del testo della norma nelle sue tre versioni linguistiche, dello scopo della disposizione volto a garantire la parità di trattamento salariale fra i lavoratori interinali e quelli assunti direttamente da un'azienda, del la circolare n. 12 del 19 maggio 2018 della CPRT , del Commento CCL prestito di personale del 12 aprile 2019 e delle dichiarazioni della presidente della CPRT, il primo giudice è giunto alla conclusione che le due condizioni sono alternative nel senso che la congiunzione “e” ha una funzione aggiuntiva e non cumulativa. D'altronde, per il primo giudice, “non si vede il senso di interpretare diversamente la disposizione, né è ravvisabile una simile volontà delle parti contraenti al momento della redazione della disposizione”. Il Pretore aggiunto ha poi esaminato se l'art. 24 cpv. 2 CCL, così come interpretato, possa applicarsi nel Canton Ticino dall'entrata in vigore della norma o, come sostenuto dalla convenuta, soltanto dall'emissione della circolare n. 12. Accertato che la problematica interpretativa si è posta unicamente nel Canton Ticino, i l primo giudice ha preso atto che per il Comitato della Commissione professionale paritetica svizzera per il prestito di personale (CPSPP), nella sua funzione di sorveglianza sulle commissioni professionali paritetiche regionali, così come di vigilanza sul rispetto delle norme del CCL, nelle varie zone della Svizzera non potesse valere una regolamentazione diverse. Egli ha altresì evidenziato come la nota circolare si limitasse a chiarire la portata applicativa della norma “ senza adottare opzioni ermeneutiche non desumibili dall'ordinaria esegesi della stessa ” , tant'è che nel resto della Svizzera ne è stato sin da subito compreso il senso, in particolare con riguardo allo scopo perseguito volto a garantire la parità di trattamento salariale fra i lavoratori . Ciò posto, il Pretore aggiunto ha concluso che il carattere imperativo dell'art. 24 cpv. 2 CCL PP impone la corretta e coerente applicazione sin dalla sua entrata in vigore, onde evitare ingiustificate e illegali disparità di trattamento fra i lavoratori e tutelare i principi dell'affidamento e della certezza del diritto. Quanto alla decisione del CPSPP di imporre sanzioni solo dopo la pubblicazione della citata circolare, il primo giudice l'ha considerata priva di rilievo, trattandosi di una questione di valenza meramente privata limitata ai rapporti tra l'associazione e i soci. Per il Pretore aggiunto, infine, in assenza di una consolidata prassi contraria, l'interpretazione elucidata non costituisce alcun cambiamento di giurisprudenza. In siffatte circostanze , il primo giudice ha riconosciuto all'attore il diritto ai supplementi salariali previsti dall'art. 8 del regolamento interno della P__________ SA. Posto che il minimo salariale preteso dall'attore non è applicabile alla fattispecie, sulla base delle  schede delle timbrature e dei fogli di salario, egli ha allestito un conteggio, annesso alla decisione quale parte integran-te, da cui risulta il diritto di CO 1 al pagamento di fr. 9013.76 lordi, pari a fr. 8087.60 netti (5.125% AVS/AI/IPG, 1.10% AD, 1.10% IGM, 2.25% AINP, 0.70% CFC), senza trattenuta delle imposte alla fonte a carico del lavoratore. In definitiva, il Pretore aggiunto ha obbligato la convenuta a versare all'attore fr. 8087.60 netti oltre interessi al 5% dal 30 settembre 2018 e ha pronunciato il rigetto in via definitiva dell' opposizione interposta al citato precetto esecutivo limitatamente a questo importo .</w:t>
      </w:r>
    </w:p>
    <w:p>
      <w:r>
        <w:rPr>
          <w:b/>
        </w:rPr>
        <w:t>E. 4</w:t>
      </w:r>
    </w:p>
    <w:p>
      <w:r>
        <w:t>Per la RE 1, l a decisione del Pretore aggiunto di considerare le condizioni poste all'art. 24 cpv. 2 CCL PP alternative anziché cumulative costituisce un'inammissibile interpretazione contra litteram. La reclamante sostiene che la norma, nelle sue tre versioni linguistiche, esprime “lo stesso concetto in modo convergen­te, ovvero che il lavoro a turni e il lavoro domenicale istituzionalizza­to sono da ritenere quali condizioni cumulative per prevedere l'eccezionale applicazione di un CCL (anche non obbligatorio) o di un Regolamento aziendale”, giacché “in tutte e tre le versioni è indicata infatti chiaramente una “e” e non una “o”. A suo avviso, siccome una disposizione normativa di un contratto collettivo di lavoro va interpretata in primo luogo secondo la sua lettera e va protetta inoltre la fiducia delle parti vincolate da un CCL che non hanno preso parte alla sua elaborazione , il primo giudice doveva limitarsi a tale modo di interpretazione senza scostarsi dal suo chiaro senso letterale. a) L'art. 24 CCL PP, dal titolo marginale “ supplementi ” , ha il seguente tenore: 1 I supplementi per lavoro straordinario, notturno e domenicale non pos- sono essere accumulati. Viene preso in considerazione ogniqualvolta il supplemento più elevato. 2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b) In concreto è incontestato che il contratto collettivo di lavoro per il settore del prestito di personale (CCL PP) è applicabile al rapporto di lavoro tra le parti in causa. È parimenti incontestato che alla P__________ SA, azienda acquisitrice presso la quale l'attore è stato impiegato, non vigeva il lavoro domenicale istituzionalizzato, ma soltanto il lavoro a turni. Litigiosa è la questione di sapere se a lla fattispecie si applichino i supplementi previsti dal regolamento interno della P__________ SA (art. 8) in applicazione dell'art. 24 cpv. 2 CCL PP, ovvero in questa sede se l'interpretazione del Pretore aggiunto per il quale le condizioni poste da quest'ultima norma sono alternative e non cumulative sia o meno arbitraria. c) Ora, i n una recente sentenza del 7 aprile 2022, questa Camera ha già dovuto di esaminare una fattispecie simile e, dopo avere tenuto conto dei vari criteri di interpretazione di una norma indicati dal Tribunale federale, è giunta alla conclusione che, contrariamente all'assunto dell'azienda attiva nell'ambito del prestito di personale , per la quale il senso letterale dell'art. 24 cpv. 2 CCL PP sarebbe chiaro e univoco laddove prevedrebbe, per il versamento dei supplementi salariali previsti dai regolamenti aziendali delle imprese acquisitrici, l'adempimento di due condizioni cumulative (quella del lavoro a turni e quella del lavoro domenicale istituzionalizzato), il tenore letterale della citata disposizione non è di per sé risolutivo, siccome l'utilizzo della congiunzione “ e ” non implica necessariamente un significato in senso cumulativo, potendo avere anche funzione aggiuntiva (inc. 16.2020.46 consid. 5b). La Camera, poi, ha altresì stabilito che lo scopo della norma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Essa ha così rilevato che una visione cumulativa delle due condizioni e dunque un'applicazione restrittiva della norma,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 ( inc. 16.2020.46 consid. 6). Quanto alla volontà delle parti contraenti, questa Camera ha ritenuto che determinante non fosse qu ella di una singola commissione regionale (incaricata di verificare a livello locale il rispetto del CCL PP), ma quella rappresentanti dell'associazione dei datori di lavoro Swissstaffing, con i loro membri, e dei sindacati firmatari Unia, Syna, Società svizzera degli impiegati di commercio (SIC Svizzera) e Angestellte Schweiz con i lavoratori loro associati, all'interno della Commissione professionale paritetica Svizzera CPSPP (incaricata di vigilare sulla corretta attuazione, applicazione ed esecuzione del CCL PP quale organo superiore di sorveglianza). La Camera non ha disconosciuto che fino all'emissione della circolare n. 12 , nel Canton Ticino in occasione dei controlli a campione presso le aziende non veniva verificato il rispetto dell'art. 24 cpv. 2 CCL PP, ma ha considerato che la condotta della Commissione paritetica cantonale non potesse essere equiparata a una prassi ( inc. 16.2020.46 consid. 7). Infine, relativamente all'applicazione retroattiva della norma, la Camera, dopo avere escluso l'esistenza di una modifica legislativa o giurisprudenziale e ricordato che prima del 2018 la Commissione paritetica cantonale, quale organo preposto alla vigilanza regionale relativa al CCL PP, non aveva mai accertato violazioni o inflitto sanzioni in relazione ai supplementi per lavoro a turni, ha ritenuto che se il principio della buona fede impedisce, a livello disciplinare, di sanzionare retroattivamente (per l'assenza di comportamenti in chiara violazione di una stabilita prassi), l e disposizioni dei contratti collettivi di lavoro circa la conclusione, il contenuto e la fine dei rapporti di lavoro hanno effetto diretto e imperativo per i datori di lavoro e i lavoratori vincolati, ragione per cui la tutela dell'affidamento e il principio della buona fede devono recedere innanzi a quelli della sicurezza del diritto, della corretta e uniforme applicazione di una norma imperativa (uguaglianza giuridica) e della tutela dei lavoratori ( inc. 16.2020.46 consid. 8) . Donde in definitiva la reiezione del reclamo presentato da un'azienda attiva nell'ambito del prestito di personale. Ad analoga conclusione è giunta altresì la seconda Camera civile del Tribunale di appello (sentenze inc. 12.2021.164 e inc. 12.2021.165 del 7 aprile 2022). d) La decisione di questa Camera è stata oggetto di ricorso al Tribunale federale, il quale con sentenza 4A_239/2022 del 21 agosto 2023 ha dichiarato inammissibile il ricorso in materia civile e respinto quello sussidiario in materia costituzionale. In tale decisione, il Tribunale federale ha ritenuto che l'interpretazione dell'art. 24 cpv. 2 CCL PP eseguita dalla Corte cantonale “non può essere ritenuta arbitraria”, ha rimproverato alla ricorrente di non avere reso “ravvisabile l'esistenza di una giurisprudenza che presupponeva, per il versamento dei supplementi salariali, cumulativamente, il lavoro a turni e il lavoro domenicale istituzionalizzato né di avere dimostrato che “un'autorità le avrebbe fornito assicurazioni vincolanti riguardo alla continuazione della precedente interpretazione della disposizione” e, infine che non essendo in discussione l'applicazione di un nuovo diritto ma solo di una mutata interpretazione della medesima disposizione, non era in discussione una violazione del divieto di retroattività. Medesimo destino hanno seguito i ricorsi presentati al Tribunale federale contro la decisione della seconda Camera civile (sentenze 4A_235/2022 e 4A_237/2022 del 21 agosto 2023). e) Nel caso in esame, le censure sollevate dalla reclamante ricalcano sostanzialmente quelle già esaminate e respinte da questa Camera nella citata sentenza del 7 aprile 2022. E sse n on consentono quindi di rimettere in discussione tale decisione e non devono pertanto essere ulteriormente esaminate in questa sede. Ne segue che il reclamo deve essere respinto.</w:t>
      </w:r>
    </w:p>
    <w:p>
      <w:r>
        <w:rPr>
          <w:b/>
        </w:rPr>
        <w:t>E. 5</w:t>
      </w:r>
    </w:p>
    <w:p>
      <w:r>
        <w:t>La procedura in controversie derivanti da un rapporto di lavoro come pure secondo la legge del 6 ottobre 1989 sul collocamento fino a un valore di fr. 30 000.– è gratuita (art. 114 lett. c CPC), salvo in caso di temerarietà processuali, circostanze non realizzate nella fattispecie (art. 115 CPC). Non si pone problema di ripetibili, il reclamo non essendo stato oggetto di notificazione. Per questi motivi, decide: 1.   Il reclamo è respinto. 2.   Non si riscuotono spese processuali.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