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16.2022.16 vom 8. November 2023</w:t>
      </w:r>
    </w:p>
    <w:p>
      <w:r>
        <w:t>TI Tribunale d'appello, 2023-11-08, IT</w:t>
      </w:r>
    </w:p>
    <w:p>
      <w:r>
        <w:rPr>
          <w:b/>
        </w:rPr>
        <w:t xml:space="preserve">Quelle: </w:t>
      </w:r>
      <w:r>
        <w:t>https://mcp.opencaselaw.ch/entscheid/ti_gerichte_16.2022.16</w:t>
      </w:r>
    </w:p>
    <w:p>
      <w:r>
        <w:t>FR: TI_GERICHTE 16.2022.16 du 8 novembre 2023</w:t>
      </w:r>
    </w:p>
    <w:p>
      <w:r>
        <w:t>IT: TI_GERICHTE 16.2022.16 del 8 novembre 2023</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 patrocinatore della convenuta il 14 aprile 2022 (cfr. tracciamento degli invii po­stali n. 98.__________, agli atti), durante le ferie giudiziarie (dal 10 al 24 aprile 2022 incluso, art. 145 cpv. 1 lett. a CPC). Il termine d'impugnazione è così cominciato a decorrere il 25 aprile 2022 e sarebbe scaduto il 24 maggio 2022. Introdotto l'ultimo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rilevato anzitutto che per la convenuta l'interpretazione dell'art. 24 cpv. 2 CCL PP fornita dalla Commissione paritetica regionale del Canton Ticino per il settore del prestito di personale con la circolare n. 12 del 29 maggio 2018, di per sé non contestata, deve applicarsi in Ticino unicamente dalla data di pubblicazione e quindi successivamente al periodo di collaborazione dell'attore presso l'azienda acquisitrice. Il primo giudice ha poi accertato che fino all'emissione di tale circolare “ all'interno della Commissione Paritetica Regionale del Canton Ticino (CPRT) la parte padronale e la parte sindacale divergevano sull'interpretazione dell'art. 24 cpv. 2 CCL PP e pertanto in Ticino non erano mai stati fatti dei controlli di conformità, né emesse delle decisioni al riguardo ” . D al 1° settembre 2018, egli ha soggiunto, “ sono iniziati i controlli indirizzati però alle situazioni in essere a quel momento, in quanto, all'interno della Commissione cantonale, permaneva un disaccordo riguardo all'applicazione retroattiva della Circolare”. Secondo il Pretore aggiunto, ad ogni modo, a prescindere dal fatto che prima dell'emanazione della menzionata circolare al Tribunale arbitrale previsto dall'art. 40 CCL PP non era stato richiesto di interpretare la norma, “ spetta al giudice ordinario la condanna al pagamento del supplemento salariale, qualora dovuto, anche se la pretesa implica l'applicazione, rispettivamente l'interpretazione del CCL PP”. Rammentati poi i principi d'interpretazione dei contratti collettivi, il Pretore aggiunto ha ritenuto che “il tenore letterale del cpv. 2 dell'art. 24 CCL PP […], pare indicare la necessità di un concorso cumulativo delle due condizioni, anche se la “e” potrebbe avere una funzione aggiuntiva”. Se non che, a suo avviso, “il cumulo non può essere stato nell'intento delle parti contrattuali poiché non si vede la ratio ed il senso comune di una tale restrizione dell'applicazione del rinvio che […] mira a perseguire il medesimo trattamento, riguardo ai supplementi, dei lavoratori prestati rispetto ai lavoratori assunti direttamente dall'azienda acquisitrice […] Il considerare cumulativamente le due condizioni non farebbe altro che creare un'ingiustificata disparità tra i lavoratori prestati ad aziende che hanno il lavoro a turni ma non domenicale regolare e ad aziende che hanno il lavoro domenicale ad un turno solo e i lavoratori prestati ad aziende che hanno il lavoro domenicale a più turni […]”. Premesso ciò, per il primo giudice, “seguen­do il testo letterale dell'articolo, il Regolamento della S__________, che permette il cumulo dei supplementi per il turno diurno e quello notturno, non si applicherebbe ai lavoratori prestati, contrariamente ai propri, poiché l'azienda non ha il lavoro domenicale e questo diversamente da un lavoratore prestato ad un'azienda che ha il lavoro domenicale e a turni. La disparità di trattamento la si coglie a maggior ragione se si tiene conto che il rinvio vale anche in caso di CCL e di regolamenti aziendali che prevedono per i supplementi un trattamento meno favorevole rispetto al CCL PP e come tale applicabile anch'esso al lavoratore prestato solo qualora si tratti di una azienda con il lavoro domenicale e a turni. Da ciò ne seguirebbe un diverso trattamento tra i lavoratori prestati ad aziende acquisitrici con lavoro a turni e domenicale e i lavoratori prestati ad aziende acquisitrici che hanno solo il lavoro a turni oppure solo il lavoro domenicale, nonché di quest'ultimi due gruppi di lavoratori rispetto ai colleghi assunti direttamente che sarebbero invece sottoposti al CCL o al regolamento aziendale. Da ultimo ma non in ordine di importanza, l'interpretazione della norma nell'accezione cumulativa si scontrerebbe con l'art. 3 cpv. 1 del CCL PP che […] impone di recepire nei contratti del personale temporaneo le norme concernenti il salario dei CCL aziendali di obbligatorietà generale e dei CCL richiamati dal CCL PP nell'Annesso 1”. Il Pretore aggiunto ha così concluso che l'art. 24 cpv. 2 CCL PP si deve interpretare nel senso che le due condizioni poste dalla norma “sono alternative e non cumulative”. Ciò posto, il primo giudice, richiamato il principio secondo cui le norme del CCL PP, in vigore e di obbligatorietà generale durante il rapporto di lavoro tra le parti hanno effetto diretto ed imperativo sul contratto di cui si tratta in virtù dell'art. 357 CO, ha riconosciuto all'attore il diritto alle indennità diurne per tutte le ore che ha lavorato nel 1° e 2° turno. Per il Pretore aggiunto, il lavoratore non poteva rinunciare a crediti derivanti dal rapporto di lavoro risultanti da disposizioni imperative della legge o del CCL, in applicazione dell'art. 341 CO, né si riscontrava una sua rinuncia a tali supplementi. Peraltro, ­– egli ha soggiunto – “la modifica dell'interpretazione di una norma, così come di una prassi giurisprudenziale, vanno applicate immediatamente, con l'unico limite di quando le rassicurazioni o il comportamento di un'autorità hanno comportato un affidamento, delle legittime aspettative, nel destinatario, condizioni che vengono esaminate alla luce del caso concreto e della ponderazione dei contrapposti interessi, fra cui la sicurezza del diritto e della legalità, dell'uguaglianza e della buone fede” e “pur non negando che il comportamento della Commissione paritetica cantonale abbia potuto generare nella qui convenuta  e più in generale nelle aziende acquisitrici, la convinzione di interpretare correttamente l'art. 24 cpv. 2 CCL PP, la tutela dell'affidamento e della buona fede devono cedere il passo alla sicurezza del diritto e alla corretta e uniforme applicazione di una norma imperativa concernente i diritti salariali del personale a prestito, diritti che prevalgono sulla tutela dei datori di lavoro”. In definitiva, il Pretore aggiunto ha condannato la convenuta a versare all'attore fr. 7890.50, importo di per sé non contestato, più interessi del 5% dal 1° gennaio 2016.</w:t>
      </w:r>
    </w:p>
    <w:p>
      <w:r>
        <w:rPr>
          <w:b/>
        </w:rPr>
        <w:t>E. 4</w:t>
      </w:r>
    </w:p>
    <w:p>
      <w:r>
        <w:t>Per la RE 1, l a decisione del Pretore aggiunto di considerare le condizioni poste all'art. 24 cpv. 2 CCL PP alternative anziché cumulative costituisce un'inammissibile interpretazione contra litteram. La reclamante sostiene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L'art. 24 CCL PP, dal titolo marginale “ supplementi ” ,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b) In concreto è incontestato che il contratto collettivo di lavoro per il settore del prestito di personale (CCL PP) è applicabile al rapporto di lavoro tra le parti in causa. È parimenti incontestato che alla S__________ , azienda acquisitrice presso la quale l'attore è stato impiegato, non vigeva il lavoro domenicale istituzionalizzato, ma soltanto il lavoro a turni. Litigiosa è la questione di sapere se a lla fattispecie si applichino i supplementi previsti dal regolamento aziendale della S__________ (art. 3 cpv. 2) in applicazione dell'art. 24 cpv. 2 CCL PP, ovvero in questa sede se l'interpretazione del Pretore aggiunto per il quale le condizioni poste da quest'ultima norma sono alternative e non cumulative sia o meno arbitraria. c) Ora, i n una recente sentenza del 7 aprile 2022, questa Camera ha già dovuto esaminare una fattispecie simile e, dopo avere tenuto conto dei vari criteri di interpretazione di una norma indicati dal Tribunale federale, è giunta alla conclusione che, contrariamente all'assunto dell'azienda attiva nell'ambito del prestito di personale , per la quale il senso letterale dell'art. 24 cpv. 2 CCL PP sarebbe chiaro e univoco laddove prevedrebbe, per il versamento dei supplementi salariali previsti dai regolamenti aziendali delle imprese acquisitrici, l'adempimento di due condizioni cumulative (quella del lavoro a turni e quella del lavoro domenicale istituzionalizzato), il tenore letterale della citata disposizione non è di per sé risolutivo, siccome l'utilizzo della congiunzione “ e ” non implica necessariamente un significato in senso cumulativo, potendo avere anche funzione aggiuntiva (inc. 16.2020.46 consid. 5b). La Camera, poi, ha altresì stabilito che lo scopo della norma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Essa ha così rilevato che una visione cumulativa delle due condizioni e dunque un'applicazione restrittiva della norma,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 inc. 16.2020.46 consid. 6). Quanto alla volontà delle parti contraenti, questa Camera ha ritenuto che determinante non fosse qu ella di una singola commissione regionale (incaricata di verificare a livello locale il rispetto del CCL PP), ma quella dei rappresentanti dell'associazione dei datori di lavoro Swissstaffing, con i loro membri, e dei sindacati firmatari Unia, Syna, Società svizzera degli impiegati di commercio (SIC Svizzera) e Angestellte Schweiz con i lavoratori loro associati, all'interno della Commissione professionale paritetica Svizzera CPSPP (incaricata di vigilare sulla corretta attuazione, applicazione ed esecuzione del CCL PP quale organo superiore di sorveglianza). La Camera non ha disconosciuto che fino all'emissione della circolare n. 12 , nel Canton Ticino in occasione dei controlli a campione presso le aziende non veniva verificato il rispetto dell'art. 24 cpv. 2 CCL PP, ma ha considerato che la condotta della Commissione paritetica cantonale non potesse essere equiparata a una prassi ( inc. 16.2020.46 consid. 7). Infine, relativamente all'applicazione retroattiva della norma, la Camera, dopo avere escluso l'esistenza di una modifica legislativa o giurisprudenziale e ricordato che prima del 2018 la Commissione paritetica cantonale, quale organo preposto alla vigilanza regionale relativa al CCL PP, non aveva mai accertato violazioni o inflitto sanzioni in relazione ai supplementi per lavoro a turni, ha ritenuto che se il principio della buona fede impedisce, a livello disciplinare, di sanzionare retroattivamente (per l'assenza di comportamenti in chiara violazione di una stabilita prassi), l e disposizioni dei contratti collettivi di lavoro circa la conclusione, il contenuto e la fine dei rapporti di lavoro hanno effetto diretto e imperativo per i datori di lavoro e i lavoratori vincolati, ragione per cui la tutela dell'affidamento e il principio della buona fede devono recedere innanzi a quelli della sicurezza del diritto, della corretta e uniforme applicazione di una norma imperativa (uguaglianza giuridica) e della tutela dei lavoratori ( inc. 16.2020.46 consid. 8) . Donde in definitiva la reiezione del reclamo presentato da un'azienda attiva nell'ambito del prestito di personale. Ad analoga conclusione è giunta altresì la seconda Camera civile del Tribunale di appello (sentenze inc. 12.2021.164 e inc. 12.2021.165 del 7 aprile 2022). d) La decisione di questa Camera è stata oggetto di ricorso al Tribunale federale, il quale con sentenza 4A_239/2022 del 21 agosto 2023 ha dichiarato inammissibile il ricorso in materia civile e respinto quello sussidiario in materia costituzionale. In tale decisione, il Tribunale federale ha ritenuto che l'interpretazione dell'art. 24 cpv. 2 CCL PP eseguita dalla Corte cantonale “non può essere ritenuta arbitraria”, ha rimproverato alla ricorrente di non avere reso “ravvisabile l'esistenza di una giurisprudenza che presupponeva, per il versamento dei supplementi salariali, cumulativamente, il lavoro a turni e il lavoro domenicale istituzionalizzato né di avere dimostrato che “un'autorità le avrebbe fornito assicurazioni vincolanti riguardo alla continuazione della precedente interpretazione della disposizione” e, infine che non essendo in discussione l'applicazione di un nuovo diritto ma solo di una mutata interpretazione della medesima disposizione, non era in discussione una violazione del divieto di retroattività. Medesimo destino hanno seguito i ricorsi presentati al Tribunale federale contro la decisione della seconda Camera civile (sentenze 4A_235/2022 e 4A_237/2022 del 21 agosto 2023). e) Nel caso in esame, le censure sollevate dalla reclamante ricalcano sostanzialmente quelle già esaminate e respinte da questa Camera nella citata sentenza del 7 aprile 2022. E sse n on consentono quindi di rimettere in discussione tale decisione e non devono pertanto essere ulteriormente esaminate in questa sede. Ne segue che il reclamo deve essere respinto.</w:t>
      </w:r>
    </w:p>
    <w:p>
      <w:r>
        <w:rPr>
          <w:b/>
        </w:rPr>
        <w:t>E. 5</w:t>
      </w:r>
    </w:p>
    <w:p>
      <w:r>
        <w:t>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La reclamante rifonderà alla controparte, che ha presentato osservazioni per il tramite di un patrocinatore, un'adeguata indennità per ripetibili. Per questi motivi, decide: 1.   Il reclamo è respinto. 2.   Non si prelevano oneri processuali. RE 1 rifonderà a CO 1 fr. 500.– per ripetibili. 3.   Notificazione a: – ; – . Comunicazione alla Pretura del Distretto di Lugano, sezione 2.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