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16.2021.6 vom 17. Februar 2022</w:t>
      </w:r>
    </w:p>
    <w:p>
      <w:r>
        <w:t>TI Tribunale d'appello, 2022-02-17, IT</w:t>
      </w:r>
    </w:p>
    <w:p>
      <w:r>
        <w:rPr>
          <w:b/>
        </w:rPr>
        <w:t xml:space="preserve">Quelle: </w:t>
      </w:r>
      <w:r>
        <w:t>https://mcp.opencaselaw.ch/entscheid/ti_gerichte_16.2021.6</w:t>
      </w:r>
    </w:p>
    <w:p>
      <w:r>
        <w:t>FR: TI_GERICHTE 16.2021.6 du 17 février 2022</w:t>
      </w:r>
    </w:p>
    <w:p>
      <w:r>
        <w:t>IT: TI_GERICHTE 16.2021.6 del 17 febbraio 2022</w:t>
      </w:r>
    </w:p>
    <w:p>
      <w:pPr>
        <w:pStyle w:val="Heading2"/>
      </w:pPr>
      <w:r>
        <w:t>Regeste</w:t>
      </w:r>
    </w:p>
    <w:p>
      <w:r>
        <w:t>Contrato di lavoro - licenziamento immediato</w:t>
      </w:r>
    </w:p>
    <w:p>
      <w:pPr>
        <w:pStyle w:val="Heading2"/>
      </w:pPr>
      <w:r>
        <w:t>Erwägungen</w:t>
      </w:r>
    </w:p>
    <w:p>
      <w:r>
        <w:rPr>
          <w:b/>
        </w:rPr>
        <w:t>E. 1</w:t>
      </w:r>
    </w:p>
    <w:p>
      <w:r>
        <w:t>CPC). In concreto, la decisione impugnata è pervenuta alla rappresentante della convenuta il 18 dicembre 2020 (cfr. tracciamento dell'invio 98.__________, agli atti). Il termine di ricorso è rimasto sospeso tuttavia fino al 2 gennaio 2021 in virtù dell'art. 145 cpv. 1 lett. c CPC. Cominciato a decorrere il 3 gennaio 2021, esso sarebbe scaduto così lunedì 1° febbraio 2017. Depositato l'ultimo giorno utile, il reclamo in esame è quindi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richiamate le condizioni per una rescissione immediata del rapporto di lavoro in applicazione dell'art. 337 CO, ha accertato che il motivo del licenziamento immediato addotto dalla convenuta era “il furto di una somma di denaro indefinita da parte dell'attrice”. Premesso ciò, egli ha ritenuto che dalla testimonianza del gerente dell'esercizio pubblico e dai dati riportati in una tabella da lui fatta allestire risultava che nei giorni in cui l'attrice era stata controllata, la mancata segnalazione dell'eccedenza di denaro e il relativo versamento nella cassaforte “pur non capitando quotidianamente, si ripeteva con una certa, e allarmante, regola­rità”. Il primo giudice, considerata la situazione di difficoltà probatoria “derivante dall'assenza di una telecamera di sorveglianza sulla cassa utilizzata dall'attrice, che non permetteva un controllo diretto sul suo operato”, ha ammesso l'oggettiva gravità delle causa del licenziamento immediato, perché “il sistema indiretto posto in essere dalla convenuta per controllare i propri dipendenti è risultato (...) sufficientemente idoneo a dimo­strare un comportamento quantomeno critico e preoccupante”. A suo avviso, pertanto, “l'analisi dei fatti di causa sembra integrare un grado di certezza della prova pari, almeno, al 75% ( non certi, ma più che probabili o verosimili ), se non anche supe­riore”. Valutato il ruolo di responsabilità dell'attrice e la sistematicità delle mancanze, per il Pretore aggiunto, il comportamento della dipendente connota, da un punto di vista soggettivo, una gra­vità tale da rompere il rapporto di fiducia con il datore di lavoro, ciò che legittima il licenziamento immediato. Poco importa, egli ha soggiunto, che le somme non dichiarate siano di poca entità, tale aspetto non essendo “una discriminante per ritenere illegittimo un licenziamento immediato per appropriazione indebita”. Il Pretore aggiunto ha poi appurato che il licenziamento con effetto immediato era stato preceduto anche da un avvertimento giacché nel corso di una riu­nione tutti i collabora­tori, compresa l'attrice, erano stati informati sull'intensificazione dei controlli per evitare il ripe­tersi di furti “e quindi l'attrice era avvisata sulle conse­guenze di tali comporta­menti”. Quanto all'immediatezza della reazione della datrice di lavoro, per il primo giudice “5 giorni lavorativi (ultimo con­trollo 19 luglio 2019, lettera di licenzia­mento 26 luglio 2019, per un totale di 7 giorni ma, ai sensi dell'art. 16 cpv. 1 CCLN risultano es­sere 5 giorni lavorativi)” erano accettabili “vista la necessità della convenuta di rivolgersi a un informatico per avere conferma della veridicità del controllo”. A titolo abbondanziale “e sempre in subordine rispetto al ragionamento principale, il Pretore aggiunto dopo avere richiamato la facoltà del datore di lavoro di licenziare il lavoratore per un semplice sospetto e riassuntine i presupposti, ha ritenuto che se ciò, salvo eccezioni, non giustifica di per sé un licenziamento in tronco, il giudice può liberamente determinare le conseguenze della risoluzione immediata. Secondariamente, egli ha soggiunto, se la mancanza grave del lavoratore deve essere ammessa con prudenza dal giudice, anche manchevolezze minori possono giustificare una disdetta immediata quando si verificano ripetutamente malgrado espliciti avvertimenti sull’eventualità della disdetta. Premesso ciò, egli ha concluso, quand'anche si volesse ritenere che i fatti da lui accertati non fossero di una certa gravità, “la sistematicità dei comportamenti sospetti, uniti all’avvertimento dato (che pur se di carattere generale interessava sicuramente tutto il personale, attrice compresa) portano a concludere nuovamente per la legittimità del licenziamento immediato”. In siffatte circostanze, egli respinto la pretesa dell'at­trice relati­va al pa­gamen­to del salario di agosto 2019. Riguardo all'indennità per vacanze non godute e giorni di riposo non effettuati ai sensi dell'art. 17 CCLN, il primo giudice ha accer­tato che la lavoratrice, benché licenziata in tronco il 26 luglio 2019, aveva percepito il salario per l'intero mese e che al 31 luglio 2019 aveva un saldo di - 2.91 giorni di lavoro, - 5.20 giorni di riposo, + 10.43 giorni di vacanza e + 0.48 giorni festivi. Ha calco­lato così un totale di 2.8 giorni da indenniz­zarle pari a fr. 327.– (fr. 3500.–: 30 giorni x 2.8 giorni) e, aggiunti fr. 27.– (fr. 327.–: 100 x 8.33) per la tredi­cesima pro rata , le ha riconosciuto un'indennità di fr. 354.–. Donde l'accogli­mento della petizione limita­tamente a questo importo.</w:t>
      </w:r>
    </w:p>
    <w:p>
      <w:r>
        <w:rPr>
          <w:b/>
        </w:rPr>
        <w:t>E. 4</w:t>
      </w:r>
    </w:p>
    <w:p>
      <w:r>
        <w:t>La reclamante censura la violazione dell′art. 337 CO, ritenendo non adempiute nessuna delle condizioni necessarie per l'applicazione di questa norma (esistenza di una mancanza particolarmen­te grave o di mancanze meno gravi reiterate precedute da un avvertimento che rendono oggettivamente impensabile la continuazione della relazione contrattuale al termine ordinario di disdetta e immediatezza della reazione). Essa, ribadito di non essersi mai appropriata di pagamenti degli avventori, ritiene che sulle accuse di appropriazione indebita mosse contro di lei dalla convenuta il primo giudice non poteva accontentarsi di un grado probatorio ridotto ma, per poterle considerare dimostrate, doveva fondarsi su mezzi di prova certi. Ciò posto, a suo avviso, le prove offerte dalla convenuta non dimostrano minimamente le accuse nei suoi confronti, tantomeno con un “grado pari ad almeno il 75% se non superiore” così come stabilito arbitrariamente dal primo giudice. a) Ci si può chiedere se nella fattispecie soccorressero le premesse per rinunciare all'esigenza della prova piena e limitarsi a una verosimiglianza preponderante (cfr. sulle condizioni: DTF 144 III 264 consid. 5; più recentemente: sentenza 4A_254/2021 del 21 dicembre 2021 consid. 4.1), e quindi in ultima analisi se la convenuta abbia provato l'esistenza di un grave motivo atto a giustificare il licenziamento immediato. Tali quesiti possono rimanere indecisi per le seguenti ragioni. b) Il Pretore aggiunto, come si è visto, ha addotto due spiegazioni a sostegno della sua decisione: in primo luogo, ha accertato l'esistenza di un grave motivo, mentre in secondo luogo e abbondanzialmente, ha concluso per la legittimità del licenziamento immediato sulla scorta della “sistematicità dei comportamenti sospetti uniti all'avvertimento dato”. Ora, quando una decisione è sorretta da più motivazioni indipendenti (alternative o sussidiarie), l'una di esse bastando da sé sola per definire l'esito della causa, il ricorrente deve confrontarsi con tutte quante, sotto pena di inammissibilità del ricor­so, e un'impugnazione può essere accolta unicamente se le critiche volte contro ogni motivazio­ne risultano fondate (DTF 142 III 368 consid. 2.4 con rinvii; più recentemente: sentenza 5A_700/2019 del 3 febbraio 2021 consid. 4.4; analogamente: I CCA, sentenza inc. 11.2020.21 del 24 dicembre 2020 consid. 27c; II CCA, sentenza inc. 12.2020.48 dell'11 novembre 2020 consid. 11.1; III CCA, sentenza 13.2020.57 del 2 dicembre 2020 consid. 10). c) La reclamante, contesta, come si è visto, la prima motivazione addotta dal Pretore aggiunto. Essa sorvola invece sulla seconda motivazione foss'anche soltanto per criticarla siccome errata in fatto o in diritto. Essa n on spiega in effetti perché il primo giudice non potesse concludere che di fronte a “sistematici comportamenti sospetti” il licenziamento immediato fosse giustificato. Del resto, il Tribunale federale non esclude che il sospetto di commissione di un grave reato o di una grave violazione dei doveri contrattuali possa giustificare il licenziamento immediato, anche se l'accusa nei confronti del lavoratore si rivela successivamente infondata o non può essere provata (sentenza 4A_419/2015 del 19 febbraio 2016 consid. 2.1.2, con rinvii). Né la reclamante accenna a fattori che escludono la validità di un licenziamento basato su soli sospetti [la presunta violazione dei doveri del lavoratore, anche se non provata, non sarebbe sufficientemente importante da giustificare un licenziamento immediato senza preavviso, oppure il datore di lavoro non ha fatto tutto ciò che ci si poteva aspettare da lui per verificare i sospetti (sentenza del Tribunale federale citata)]. Patrocinata da un legale, essa non poteva ignorare tale esigenza. Ne deriva che, diretto contro una sola motivazione (su due) della sentenza impugnata, al riguardo il reclamo risulta irricevibile. Quanto alla tempestività del licenziamento, ammessa dal Pretore aggiunto, le contestazioni della reclamante formulate per la prima volta in questa sede sono inammissibili (art. 326 cpv. 1 CPC).</w:t>
      </w:r>
    </w:p>
    <w:p>
      <w:r>
        <w:rPr>
          <w:b/>
        </w:rPr>
        <w:t>E. 5</w:t>
      </w:r>
    </w:p>
    <w:p>
      <w:r>
        <w:t>La procedura nelle azioni derivanti da contratto di lavoro è gra­tuita (art. 114 lett. c CPC), salvo in caso di temerarietà proces­suali, circostanze non realizzate nella fattispecie (art. 115 CPC). La reclamante rifonderà alla controparte, che ha presentato osservazioni per il tramite di un avvocato, un'equa indennità per ripetibili. Per questi motivi, decide: 1.   Nella misura in cui è ammissibile, il reclamo è respinto . 2. Non si prelevano spese processuali. La reclamante rifonderà alla controparte fr. 800.– per ripetibili. 3.   Notificazione a: – ; – . Comunicazione alla Pretura della giurisdizione di Locarno-Città.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