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16.2020.14 vom 9. Dezember 2020</w:t>
      </w:r>
    </w:p>
    <w:p>
      <w:r>
        <w:t>TI Tribunale d'appello, 2020-12-09, IT</w:t>
      </w:r>
    </w:p>
    <w:p>
      <w:r>
        <w:rPr>
          <w:b/>
        </w:rPr>
        <w:t xml:space="preserve">Quelle: </w:t>
      </w:r>
      <w:r>
        <w:t>https://mcp.opencaselaw.ch/entscheid/ti_gerichte_16.2020.14</w:t>
      </w:r>
    </w:p>
    <w:p>
      <w:r>
        <w:t>FR: TI_GERICHTE 16.2020.14 du 9 décembre 2020</w:t>
      </w:r>
    </w:p>
    <w:p>
      <w:r>
        <w:t>IT: TI_GERICHTE 16.2020.14 del 9 dicembre 2020</w:t>
      </w:r>
    </w:p>
    <w:p>
      <w:pPr>
        <w:pStyle w:val="Heading2"/>
      </w:pPr>
      <w:r>
        <w:t>Regeste</w:t>
      </w:r>
    </w:p>
    <w:p>
      <w:r>
        <w:t>Lavoro: personale a prestito – indennità per pranzo in base al contratto nazionale mantello per l'edilizia principale in Svizzera (CNM)</w:t>
      </w:r>
    </w:p>
    <w:p>
      <w:pPr>
        <w:pStyle w:val="Heading2"/>
      </w:pPr>
      <w:r>
        <w:t>Erwägungen</w:t>
      </w:r>
    </w:p>
    <w:p>
      <w:r>
        <w:rPr>
          <w:b/>
        </w:rPr>
        <w:t>E. 2</w:t>
      </w:r>
    </w:p>
    <w:p>
      <w:r>
        <w:t>Il ricorso è firmato apparentemente dal solo V__________ __________. Se non che, egli dispone unicamente di un diritto di firma collettiva a due con un membro della direzione solo per la succursale. L'atto processuale andava pertanto compiuto con un altro rappresentante iscritto nel registro di commercio. In concreto andrebbe pertanto esaminato se l'atto possa essere sanato (art. 132 cpv. 1 CPC), o, trattandosi di una scelta deliberata, se l'atto non vada dichiarato irricevibile. Visto l'esito del reclamo, il quesito può rimanere indeciso.</w:t>
      </w:r>
    </w:p>
    <w:p>
      <w:r>
        <w:rPr>
          <w:b/>
        </w:rPr>
        <w:t>E. 2.3</w:t>
      </w:r>
    </w:p>
    <w:p>
      <w:r>
        <w:t>con rinvio a DTF 117 Ia 295; cfr. CCR, sentenza inc. 16.2018.39 del 28 novembre 2019 consid. 7). L'ammontare della stessa tiene conto che il memoriale presentato dal rappresentante è identico per le tre cause congiunte. Per questi motivi, decide:</w:t>
      </w:r>
    </w:p>
    <w:p>
      <w:r>
        <w:rPr>
          <w:b/>
        </w:rPr>
        <w:t>E. 3</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alla convenuta al più presto lunedì 27 gennaio 2020. Introdotto il 26 febbraio 2020, il reclamo è pertanto tempestivo.</w:t>
      </w:r>
    </w:p>
    <w:p>
      <w:r>
        <w:rPr>
          <w:b/>
        </w:rPr>
        <w:t>E. 4</w:t>
      </w:r>
    </w:p>
    <w:p>
      <w:r>
        <w:t>Al reclamo, la RE 1 allega, oltre a documenti già presenti nel fascicolo processuale trasmesso a questa Camera dal giudice di pace supplente, la cartella mensile di lavoro utilizzata dalla C__________ SA e un riassunto redatto dal sindacato Unia delle principali condizioni di lavori in ambito di pavimentazioni stradali valide nel Canton Ticino dal 1° gennaio 2016. Questi documenti, tuttavia, presentati per la prima volta in questa sede e non davanti al primo giudice, sono nuovi e pertanto inammissibili (art. 326 cpv. 1 CPC ).</w:t>
      </w:r>
    </w:p>
    <w:p>
      <w:r>
        <w:rPr>
          <w:b/>
        </w:rPr>
        <w:t>E. 5</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(DTF 142 III 367 consid. 2.4 con rinvii). Per quanto concer­ne invece i fatti, l'autorità di reclamo ha un potere di cognizione limitato, potendo rivedere i fatti soltanto se essi sono stati accertati in modo manifestamente errato (DTF 144 III 146 consid. 2 con rinvii).</w:t>
      </w:r>
    </w:p>
    <w:p>
      <w:r>
        <w:rPr>
          <w:b/>
        </w:rPr>
        <w:t>E. 6</w:t>
      </w:r>
    </w:p>
    <w:p>
      <w:r>
        <w:t>Nella decisione impugnata, il Giudice di pace supplente, richiamata una decisione del Pretore del Distretto di Lugano, sezione 1, del 27 giugno 2016 (inc. SE.2015.85), ha considerato che nella fattispecie entrano “potenzialmente” in gioco tre Convenzioni collettive di lavoro: il Contratto nazionale mantello per l'edilizia principale in Svizzera (CNM), il Contratto collettivo di lavoro nel ramo delle pavimentazioni stradali valevole per il Cantone Ticino (CCL pavimentazioni stradali) e il Contratto collettivo di lavoro per il settore del prestito di personale ( CCLPP). Per il primo giudice, considerato che il CCL pavimentazioni stradali completa le disposizioni del CNM e ne costituisce parte integrante, “è palese che si applichi il CNM e che al suo art. 60 prevede un'indennità giornaliera di fr. 16.– per pasto, tanto più che il CNM è d'obbligatorietà generale mentre il CCL pavimentazioni stradali non lo è”. Ciò posto, egli ha accolto la petizione, salvo far decorrere gli interessi dal 30 gennaio 2018.</w:t>
      </w:r>
    </w:p>
    <w:p>
      <w:r>
        <w:rPr>
          <w:b/>
        </w:rPr>
        <w:t>E. 7</w:t>
      </w:r>
    </w:p>
    <w:p>
      <w:r>
        <w:t>Secondo la reclamante, l'art. 60 cpv. 2 seconda frase CNM prevede che i contratti collettivi di lavoro locali “possono concordare o emanare disposizioni supplementari che disciplinino fra l'altro i dettagli del diritto alla prestazione” e siccome l'art. 23.3 del CCL pavimentazioni stradali, che a suo avviso costituisce un contratto di lavoro locale in virtù dell'art. 10 CNM, “definisce le indennità di trasferta e stabilisce che vengano riconosciuti mediante un raggio chilometrico”, le aziende ticinesi attive nel settore della pavimentazione stradale “per le indennità per il pranzo fanno riferimento al raggio chilometrico come previsto dal CCL Pavimentazione Ticino”. Essa evidenzia altresì che nei suoi rapporti di lavoro ha previsto un apposito spazio con la dicitura “luogo di lavoro” che permette ai suoi collaboratori di inserire questa informazione necessaria per stabilire l'eventuale diritto a indennità per il pranzo. A suo dire, poi, tutte le persone impegnate nel settore della pavimentazione sono a conoscenza del diritto all'indennità pranzo “a seconda della distanza chilometrica”. Soggiun­ge altresì che anche il CCL per l'edilizia principale del Cantone Ticino prevede, per le aziende che vi sono sottoposte, un'indennità per il pranzo diversa rispetto a quella stabilita dal Contratto nazionale mantello per l'edilizia principale.</w:t>
      </w:r>
    </w:p>
    <w:p>
      <w:r>
        <w:rPr>
          <w:b/>
        </w:rPr>
        <w:t>E. 8</w:t>
      </w:r>
    </w:p>
    <w:p>
      <w:r>
        <w:t>Nella fattispecie, è indubbio che la reclamante è un'azienda prestatrice di personale sopposta alla Legge federale sul collocamento e il personale a prestito (LC; RS 823.11) e al CCLPP. Conformemente all'art. 20 LC e all'art. 27 CCLPP, essa era quindi tenuta a riconoscere al proprio dipendente CO 1, prestato alla C__________ SA, azienda attiva nel settore delle pavimentazioni stradali, le indennità per i pasti previste da disposizioni d'obbligatorietà generale di un contratto collettivo di lavoro cui l'impresa acquisitrice era sottoposta, segnatamente dal Contratto nazionale mantello per l'edilizia principale in Svizzera (CNM). a) L'art. 60 cpv. 2 prima frase CNM (edizione 2016-2018), nor­ma su cui l'attore fonda la sua pretesa, dispone che “l'impre­sa, secondo possibilità, mette a disposizione un pasto sufficiente al posto di corrispondere un'indennità in denaro. In mancanza di questa possibilità da parte dell'azienda, o se il lavoratore non può rientrare a casa per il pranzo, viene versata un'indennità di almeno fr. 15.– (dal 1° gennaio 2017: fr. 16.–)”. Alle parti contraenti di un CCL locale, per l'art. 60 cpv. 2 seconda frase CNM è data la possibilità di “concordare un importo superiore ed emanare disposizioni supplementari che disciplinino fra l'altro i dettagli del diritto alla prestazione”. b) Secondo la reclamante, come si è detto, su rinvio dell'art. 60 cpv. 2 seconda frase CNM le indennità per il pranzo sono disciplinate dal CCL pavimentazioni stradali e segnatamente dall' art. 23.3 CCL, il cui tenore è il seguente: “Indennità di trasferta Intere: a) Il lavoratore che non può rincasare alla sera ha diritto al vitto e all'alloggio convenienti, nonché alle spese di viaggio settimanale di andata e ritorno dalla località di lavoro alla sede della ditta; b) In cantieri aperti per almeno 3 mesi, questa indennità, limitatamente ai dipendenti non domiciliati e non conviventi con i familiari, è sostituita dal solo alloggio conveniente con la possibilità di cucinare in proprio. Parziali: km (tratta semplice di percorso stradale) 0 – 10</w:t>
      </w:r>
    </w:p>
    <w:p>
      <w:r>
        <w:rPr>
          <w:b/>
        </w:rPr>
        <w:t>E. 10</w:t>
      </w:r>
    </w:p>
    <w:p>
      <w:r>
        <w:t>25 25 – 50 oltre 50 Indennità giornaliere (fr.) 0.–</w:t>
      </w:r>
    </w:p>
    <w:p>
      <w:r>
        <w:rPr>
          <w:b/>
        </w:rPr>
        <w:t>E. 14</w:t>
      </w:r>
    </w:p>
    <w:p>
      <w:r>
        <w:t>20.– 30.–” c) Che il CCL pavimentazioni stradali , unicità ticinese, sia applicabile al la C__________ SA è indubbio e conseguentemente è possibile che nel settore della pavimentazione stradale l'indennità pranzo sia calcolata in funzione del raggio chilometrico come indicato all'art. 23.3 del CCL. Più problematica appare per contro la sua applicabilità alla convenuta quantunque la convenzione lo preveda anche per le ditte di collocamento di personale (art. 3 cpv. 2). Ora che una ditta di collocamento possa far capo volontariamente a tale CCL è possibile. Sta di fatto che contrariamente al CNM tale convenzione non è stata dichiarata di obbligatorietà generale e non figura nell'elenco dell'Appendice 1 del CCLPP. In caso di controversie torna applicabile il CNM dichiarato di obbligatorietà generale. Che lavoratori assunti direttamente da ditte di pavimentazioni siano retribuiti come pretende la reclamante, ciò che potrebbe costituire una disparità di trattamento, non costituisce ad ogni modo motivo per ammettere l'applicabilità della disposizione del CCL pavimentazioni stradali anche a quelli interinali, trattandosi di fattispecie diverse. E altrettanto vale per quanto riguarda il fatto che il CCL per l'edilizia principale del Cantone Ticino contempli una norma specifica sull'indennità per il pranzo “a completa tacitazione di quanto previsto dall'art. 60 del CNM” (art. 25 cpv. 1). In circostanze siffatte il reclamo, che non ha evidenziato nessun errore manifesto nell'accertamento dei fatti o nell'applicazione del diritto da parte del primo giudice, dev'essere respinto. 9. La procedura nelle controversie fondate sul diritto del lavoro, così come quelle sulla legge del 6 ottobre 1989 sul collocamen­t o fino a un valore di fr. 30 000.– è gratuita (art. 114 lett. c CPC), salvo in caso di temerarietà processuali, circostanze non realizzate nella fattispecie (art. 115 CPC). La reclamante, nondimeno, rifonderà al resistente, un'equa indennità per ripetibili, quantunque sia rappresentato da un sindacato (art. 68 cpv. 2 lett. d CPC e 12 cpv. 1 lett. b LACPC; v. anche DTF 142 IV 44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