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16.2019.62 vom 30. November 2020</w:t>
      </w:r>
    </w:p>
    <w:p>
      <w:r>
        <w:t>TI Tribunale d'appello, 2020-11-30, IT</w:t>
      </w:r>
    </w:p>
    <w:p>
      <w:r>
        <w:rPr>
          <w:b/>
        </w:rPr>
        <w:t xml:space="preserve">Quelle: </w:t>
      </w:r>
      <w:r>
        <w:t>https://mcp.opencaselaw.ch/entscheid/ti_gerichte_16.2019.62</w:t>
      </w:r>
    </w:p>
    <w:p>
      <w:r>
        <w:t>FR: TI_GERICHTE 16.2019.62 du 30 novembre 2020</w:t>
      </w:r>
    </w:p>
    <w:p>
      <w:r>
        <w:t>IT: TI_GERICHTE 16.2019.62 del 30 novembre 2020</w:t>
      </w:r>
    </w:p>
    <w:p>
      <w:pPr>
        <w:pStyle w:val="Heading2"/>
      </w:pPr>
      <w:r>
        <w:t>Erwägungen</w:t>
      </w:r>
    </w:p>
    <w:p>
      <w:r>
        <w:rPr>
          <w:b/>
        </w:rPr>
        <w:t>E. 2</w:t>
      </w:r>
    </w:p>
    <w:p>
      <w:r>
        <w:t>Il rimedio non è firmato in originale dai ricorrenti in violazione delle esigenze poste dall'art. 130 cpv. 1 seconda frase CPC. Non occorre tuttavia assegnar loro un termine per sanare il vizio constatato (art. 132 cpv. 1 CPC), dato che il reclamo è in ogni modo inammissibile.</w:t>
      </w:r>
    </w:p>
    <w:p>
      <w:r>
        <w:rPr>
          <w:b/>
        </w:rPr>
        <w:t>E. 3</w:t>
      </w:r>
    </w:p>
    <w:p>
      <w:r>
        <w:t>Da quanto è possibile capire dal loro rimedio, RE 1 e RE 2 chiedono anzitutto di conoscere la composizione della Corte giudicante e invitano il presidente della Camera civile dei reclami ad astenersi dal giudizio per avere già partecipato a decisioni precedenti. Come ormai sanno gli interessati, per costante giurisprudenza, salvo circostanze specifiche, le Camere civili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quelle non rappresentate (cosiddetti laici). La composizione della Camera civile dei reclami, per altro nota ai ricorrenti, è reperibile nel sito internet del Cantone Ticino. Come ripetutamente spiegato, poi, la domanda di “astensione” del presidente della Camera civile dei reclami è inammissibile poiché formulata in maniera generica e senza sostanziare alcun motivo di ricusazione ai sensi dell'art. 47 cpv. 1 CPC. Come è loro noto, dalla partecipazione a decisioni terminate con un esito a loro sfavorevole non può essere dedotta alcuna prevenzione. In tali circostanze, la domanda di astensione e il reclamo possono essere giudicati dal presidente di questa Camera.</w:t>
      </w:r>
    </w:p>
    <w:p>
      <w:r>
        <w:rPr>
          <w:b/>
        </w:rPr>
        <w:t>E. 4</w:t>
      </w:r>
    </w:p>
    <w:p>
      <w:r>
        <w:t>Dal loro memoriale del 2 novembre 2019 RE 1 e RE 2 parrebbero aggravarsi contro il verbale dell'udienza di conciliazione del 26 settembre 2019. Tale atto, tuttavia, non configura una decisione impugnabile, il Giudice di pace avendo unicamente preannunciato l'emanazione di una decisione. Nella misura in cui essi lamentano un diniego di giustizia perché il Giudice di pace non avrebbe deciso nel merito la controversia, la doglianza non può essere condivisa. Dal verbale d'udienza del 26 settembre 2019 RE 1 ha consegnato al Giudice di pace “delle osservazioni atte alla futura decisione” mentre in calce al verbale d'udienza il Giudice di pace ha indicato “che emetterà la decisione nei termini stabiliti dalla legge”. Quale decisione egli avrebbe emesso non è chiaro. Ammesso che la presentazione del memoriale potesse configurare una richiesta di decidere la controversia nel senso dell'art. 212 cpv. 1 CPC, l 'autorità di conciliazione non è vincolata dalla richiesta dell'istante e a lei sola incombe di valutare se il caso si presta a una decisione . Essa può finanche rinunciare alla sua competen­za decisionale secondo l'art. 212 cpv. 1 CPC quantunque abbia formalmente aperto una procedura decisionale e lasciato perorare le parti in questo ambito (DTF 142 III 638; CCR inc. 16.2018.66 del 13 gennaio 2020 consid. 5a). Ne segue che non si riscontrano, nel caso in esame, estremi per un diniego di giustizia.</w:t>
      </w:r>
    </w:p>
    <w:p>
      <w:r>
        <w:rPr>
          <w:b/>
        </w:rPr>
        <w:t>E. 5</w:t>
      </w:r>
    </w:p>
    <w:p>
      <w:r>
        <w:t>Quanto al reclamo del 5 novembre 2020 ai reclamanti è noto che, per costante giurisprudenza, l'autorizzazione ad agire non costituisce una decisione suscettiva di appello o reclamo (CCR inc. 16.2018.35 del 2 agosto 2018 con rinvio a DTF 140 III 229 consid. 2.1). Nella misura in cui essi parrebbero contestare l'autorizzazione ad agire rilasciata il 15 ottobre 2020 dal Giudice di pace, il reclamo si rivela d'acchito irricevibile. Quanto al fatto che il primo giudice non ha punito la convenuta per non essersi presentata all'udienza di conciliazione, la giurisprudenza ha avuto modo di rilevare che una multa disciplinare può sanzionare soltanto eccezionalmente la contumacia all'udienza di conciliazione (DTF 141 III 265). Ciò è il caso se la mancata comparizione perturba lo svolgimento della procedura, in caso di malafede o di comportamento temerario e che la parte sia stata minacciata di tale sanzione (cfr. Trezzini , Commentario pratico al Codice di diritto processuale civile svizzero, Vol. 2, 2ª edizione, n. 4 ad art. 206). Nella fattispecie, a prescindere dal fatto che la legittimazione degli istanti a contestare la mancata adozione di un provvedimento del genere appare dubbia, estremi per una sanzione non si ravvisano, tanto meno ove si pensi che la convenuta aveva annunciato la sua assenza. Ne segue in ultima analisi che il reclamo vede la sua sorte segnata e può deciso da questa Camera in composizione monocratica (art. 48 b cpv. 1 lett. a n. 2 LOG).</w:t>
      </w:r>
    </w:p>
    <w:p>
      <w:r>
        <w:rPr>
          <w:b/>
        </w:rPr>
        <w:t>E. 6</w:t>
      </w:r>
    </w:p>
    <w:p>
      <w:r>
        <w:t>Le spese processuali seguirebbero la soccombenza, ma conviene tuttavia soprassedere a ogni prelievo, che riuscirebbe verosimilmente infruttuoso e comporterebbe inutili spese per l'erario cantonale. Non si pone problemi di indennità alla convenuta, alla quale il reclamo non è stato notificato per osservazioni. Per questi motivi, decide: 1.   Il reclamo è irricevibile. 2.   Le spese processuali di fr. 300.– sono poste a carico dei reclamanti. 3.   Notificazione a: – ;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