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16.2019.58 vom 30. November 2020</w:t>
      </w:r>
    </w:p>
    <w:p>
      <w:r>
        <w:t>TI Tribunale d'appello, 2020-11-30, IT</w:t>
      </w:r>
    </w:p>
    <w:p>
      <w:r>
        <w:rPr>
          <w:b/>
        </w:rPr>
        <w:t xml:space="preserve">Quelle: </w:t>
      </w:r>
      <w:r>
        <w:t>https://mcp.opencaselaw.ch/entscheid/ti_gerichte_16.2019.58</w:t>
      </w:r>
    </w:p>
    <w:p>
      <w:r>
        <w:t>FR: TI_GERICHTE 16.2019.58 du 30 novembre 2020</w:t>
      </w:r>
    </w:p>
    <w:p>
      <w:r>
        <w:t>IT: TI_GERICHTE 16.2019.58 del 30 novembre 2020</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convenuta il 28 settembre 2019 (cfr. tracciamento dell'invio postale, agli atti, n. 98.__________ ). C onsegnato alla cancellaria del Tribunale d'appello il 28 ottobre 2019 e sanato con la firma autogra­fa entro il termine fissato il 6 novembre successivo dal presiden­te di questa Camera,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potendoli rivedere soltanto se essi sono stati accertati in modo manifestamente errato.</w:t>
      </w:r>
    </w:p>
    <w:p>
      <w:r>
        <w:rPr>
          <w:b/>
        </w:rPr>
        <w:t>E. 3</w:t>
      </w:r>
    </w:p>
    <w:p>
      <w:r>
        <w:t>Nelle sue osservazioni al reclamo CO 1 lamenta l'assenza di domande di causa “che chiedano una qualsivoglia riforma o cassazione di uno o più dispositivi della sentenza querelata”. Ora che un reclamo debba contenere le conclusioni ed i motivi è indubbio. Le conclusioni di un reclamo devono essere sì cassatorie ma anche riformatorie indicando le modifiche proposte affinché l'autorità giudiziaria superiore possa statuire nel caso in cui la causa sia matura per il giudizio nel senso dell'art. 327 cpv. 3 lett. b CPC. Le domande devono essere chiare e precise, ossia enunciare esattamente quali sono le modifiche richieste. Nel caso concreto, il reclamo non adempie simili presupposti. Sta di fatto che un reclamo privo di formali conclusioni può nondimeno risultare ammissibile se dalla sua motivazione, eventualmente letta in parallelo con la decisione impugnata, emerge senza equivoco che cosa il ricorrente intenda (nel medesimo senso CCR inc. 16.2019.15 del 25 maggio 2020 consid. 4). Nel caso in esame, dalla motivazione del reclamo emerge senza ombra di dubbio che RE 1 vuole ottenere la reiezione della petizione. Il reclamo va dunque interpretato di conseguen­za. 4.   RE 1 chiede anzitutto di conoscere la composizione della Corte giudicante e invita il presidente della Camera civile dei reclami ad astenersi dal giudizio per avere già partecipato a decisioni precedenti. Quest'ultima richiesta è stata reiterata il 27 ottobre 2020. Come noto all'interessata, per costante giurisprudenza, salvo circostanze specifiche, le Camere civili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le parti non rappresentate (cosiddetti laici). La composizione della Camera civile dei reclami, per altro nota alla ricorrente, è reperibile nel sito internet del Cantone Ticino. La domanda di “astensione” del presidente della Camera civile dei reclami è inammissibile poiché formulata in maniera generica e senza sostanziare alcun motivo di ricusazione ai sensi dell'art. 47 cpv. 1 CPC. Per tacere del fatto che prima del procedimento in esame questa Camera non ha mai trattato contenziosi in cui la reclamante è stata coinvolta (l'incarto 16.2018.35 riguardava il marito P __________ ), dall'eventuale partecitazione a decisioni terminate con un esito sfavorevole a una parte non può essere dedotta alcuna prevenzione. Per il resto, l'interessata si limita a proferire accuse generiche, senza sostanziarne alcuna. In tali circostanze, la domanda di astensione e il reclamo possono essere giudicati anche dal presidente di questa Camera.</w:t>
      </w:r>
    </w:p>
    <w:p>
      <w:r>
        <w:rPr>
          <w:b/>
        </w:rPr>
        <w:t>E. 5</w:t>
      </w:r>
    </w:p>
    <w:p>
      <w:r>
        <w:t>La Giudice di pace ha dapprima ritenuto che la domanda di ricu­sa formulata dalla convenuta nei suoi confronti non adempiva “ i requisiti di forma e contenuto ” per essere considerata ricevibile. In seguito ha accertato che la convenuta era stata dichiarata colpevole di diffamazione nei confronti dell'attore, quantunque questi non avesse spiegato né allegato “ in modo preciso quali sarebbero stati gli effetti di tale diffamazione ” . Inoltre, ha soggiunto il primo giudice, la convenuta medesima non aveva contestato quanto accaduto “ né lo potrebbe vi­sto il decreto d'accusa ” . A suo parere, quindi “ non vi sono motivi per non riconoscere all'attore il risarcimento ai sensi dell'art. 28 a cpv. 3 CC e 49 CO e possono giustificare in equità un'indennità per torto morale di fr. 1000.– ” . Quanto al risarcimen­to del danno, corrispondente alla rifusione delle spese legali sostenute dall'attore per il procedimento penale, essa ha accertato che quantunque questi chiedesse il rimborso di fr. 1500.– “ pari a ¼ di fr. 6000.– ” , la nota d'onorario del patrocinatore, incaricato dall'attore e dalla Fiduciaria __________ SA, ammontava a fr. 8130.05 senza che fosse dato di capire come l'attore “sia arrivato a suddividere in 4 parti l'onorario per le 4 distinte procedure”. Ad ogni modo, essa ha epilogato, “ visto l'importo totale di fr. 8130.05 e che tutto sommato le argomentazioni e le motivazioni dei coniugi sono sostanzialmente identiche, si può ritenere che un'indennità per riconoscimento spese legali di fr. 1500.– sia corretta ” .</w:t>
      </w:r>
    </w:p>
    <w:p>
      <w:r>
        <w:rPr>
          <w:b/>
        </w:rPr>
        <w:t>E. 6</w:t>
      </w:r>
    </w:p>
    <w:p>
      <w:r>
        <w:t>La reclamante ribadisce in più punti di avere chiesto la ricusa della Giudice di pace __________ P__________ per “evitare reiterate inadeguatezze procedurali” e per essere incor­sa in varie violazioni procedurali. In realtà, la convenuta avrebbe dovuto spiegare, con una motivazione conforme alle esigenze dell'art. 321 cpv. 1 CPC ,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La reclamante disconosce tuttavia che esistono delle eccezioni al principio secondo il quale, di regola, il giudice di cui è chiesta la ricusa non dovrebbe partecipare alla decisione da rendere in merito. Come le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7</w:t>
      </w:r>
    </w:p>
    <w:p>
      <w:r>
        <w:t>Nella misura in cui solleva la mancanza di una formazione giuridica di __________ P__________, la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8</w:t>
      </w:r>
    </w:p>
    <w:p>
      <w:r>
        <w:t>RE 1 rimprovera la mancata assunzione di prov e da lei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La convenuta non ha reagito in quell'occasione né successivamente. Ne segue che non si intravvedono violazioni del diritto della parte all'assunzione di prove.</w:t>
      </w:r>
    </w:p>
    <w:p>
      <w:r>
        <w:rPr>
          <w:b/>
        </w:rPr>
        <w:t>E. 9</w:t>
      </w:r>
    </w:p>
    <w:p>
      <w:r>
        <w:t>Contrariamente a quanto sostiene RE 1, agli atti figura la procura rilasciata da CO 1 all'avv. PA 1 (doc. C) così come quella della Fiduciaria __________ SA al medesimo legale (doc. C nell'inc. 0002-2019-O). Quanto al fatto che in altre procedure giudiziarie l'avvocato PA 1 sia patrocinatore della Comunione dei comproprietari della “__________” , della quale la convenuta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10</w:t>
      </w:r>
    </w:p>
    <w:p>
      <w:r>
        <w:t>La reclamante, nell'invocare il principio della presunzione d'innocenza, pare contestare il carattere definitivo della decisione di condanna penale, anche perché essa ha presentato varie istan­ze di revisione. In realtà, come si è detto in precedenza (sopra consid. A), il ricorso al Tribunale federale del 19 ottobre 2018 contro la sentenza del 31 agosto 2018 con cui la Corte di appello e di revisione penale ha dichiarato inammissibile, siccome tardivo, un appello di RE 1 contro un giudizio della Pretura penale che la riconosceva autrice colpevole di ripetuta diffamazione è stato dichiarato inammissibile con sentenza 6B_1060/2018 del 9 novembre 2018. Che l'interessata abbia introdotto svariate istanze di revisione contro l'atto d'accusa o le sentenze della Corte di appello e di revisione penale o del Tribunale federale, per altro tutte dichiarate inammissibili o respinte (sopra consid. A), nulla muta al fatto che la condanna penale era passata in giudicato e quindi definitiva. Per altro, il richiamo ad altre decisioni della Camera di esecuzione e fallimenti e ad articoli della legge sull'esecuzione e fallimenti non sono qui pertinenti poiché disciplinano altre questioni. 11.   RE 1 pare rimettere in discussione il giudizio penale sostenendo in sintesi che quanto da lei proferito nei confronti dell'attore non costituisce una diffamazione in base all'art. 173 CP. Se non che, l'interessata ha già tentato senza successo di contestare la diffamazione mediante le vie di diritto previste dalla procedura penale. La Giudice di pace poteva quindi riferirsi alle risultanze e agli accertamenti di fatto che emergono nel processo penale. Posto che in prima sede la convenuta nemmeno ha contestato tali risultanze né addotto altre prove, in questa sede essa si limita a contrapporre la propria versione dei fatti e una personale interpretazione delle proprie dichiarazioni ma non pretende che gli accertamenti del primo giudice siano arbitrari ovvero manifestamente insostenibili. La reclamante, poi, evidenzia tutta una serie di manchevolezze da parte dell'amministratore della “__________” ma una volta di più essa argomenta fuori tema giacché in discussione non vi è l'operato dell'amministratore della comproprietà per piani ma la questione di sapere se essa debba risarcire il danno e rifondere il torto morale a seguito alla lesione della personalità dell'attore.</w:t>
      </w:r>
    </w:p>
    <w:p>
      <w:r>
        <w:rPr>
          <w:b/>
        </w:rPr>
        <w:t>E. 12</w:t>
      </w:r>
    </w:p>
    <w:p>
      <w:r>
        <w:t>Relativamente al risarcimento del danno, consistente nella quota di spese legali sostenute dall'attore in sede penale, la reclaman­te lamenta una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l'attore fosse arrivato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la convenuta non abbia contestato partitamente i fatti allegati dall'attore,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(DTF 117 II 106 consid. 5). Detto altrimenti, con l'assegnazione alla parte lesa di un'indennità per ripetibili, quella parte non potrà far valere le spe­se di assistenza legale (come posta del danno) in una successiva azione civile (DTF 133 II 363 consid. 4.1 con rinvii; sentenza 4A_674/2015 del 22 settembre 2016 consid. 2.3). In un procedimento penale, l'accusatore privato può far valere la rifusione delle spese necessarie da lui sostenute nel procedimento nei confronti dell'imputato ( art. 433 cpv. 1 CPP ).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dalla decisione del 29 dicembre 2017 della Pretura penale nulla risulta in merito a richieste di indennità per ripetibili, né esse sono state assegnate. Nella misura in cui nel procedimento penale l'attore ha vinto la causa e avrebbe potuto ottenere un'indennità per ripetibili, l'imputata essendo stata condannata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l'attore ha mai allegato che parte delle spese esposte dal proprio patrocinatore era state occasionate dalle pretese civile fatte valere in ambito penale. Ne segue che nel riconoscere a livello civile la pretesa di rifusione delle spese sostenute dall'attore nel procedimento penale, la Giudice di pace ha erroneamente applicato il diritto. Su questo punto il reclamo si rivela fondato.</w:t>
      </w:r>
    </w:p>
    <w:p>
      <w:r>
        <w:rPr>
          <w:b/>
        </w:rPr>
        <w:t>E. 13</w:t>
      </w:r>
    </w:p>
    <w:p>
      <w:r>
        <w:t>Per quel che è del torto morale, la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all'attore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b) Nel caso in esame, l'attore ha chiesto fr. 3000.– quale torto morale, “importo commisurato alle ripetute diffamazioni di cui è stato vittima, commesse dalla convenuta e sanzionate penal­mente” (petizione pag. 2). Chiamato dalla convenuta a indicare “su quale base è fondato l'importo di fr. 3000.– quale torto morale”, l'attore in replica ha precisato che la quantificazione è avvenuta “tenuto conto della gravità dell'offesa e degli altri fatti emer­genti dal procedimento penale, tenuto conto della vigen­te giurisprudenza” (verbale del 17 maggio 2019 pag. 1 in fi­ne). Se non che, così esprimendosi, egli nemmeno ha allegato e, tanto meno dimostrato, le circostanze dalle quali si desume, per la lesione patita, la sua personale sofferenza. (I CCA, sentenza inc. 11.2013.88 del 16 settembre 2015, consid. 3a con rinvii; v. anche RtiD II-2004 pag. 527 consid. 7). Ora, che l’interessato possa avere patito un certo pregiudizio in seguito alla vicenda è possibile. Ciò non basta a dimostrare però una particolare sofferenza morale, ovvero quali effetti concreti (angosce, travagli o tribolazioni) l'offesa abbia avuto sulla sua persona. Egli non ha precisato, né comprovato, per esempio sulla base di certificati medici, le sue sofferenze. Invano si cercherebbe nella petizione un'allegazione circa la soggettiva gravità della lesione subìta dall'attore né dal fascicolo processuale emergono elementi tali da dovere ammettere che la sua sofferenza sia stata grave al punto di giustificare un risarcimento per torto morale dell'entità richiesta. Non avendo fatto fronte al suo onere di allegazione, la convenuta nemmeno era tenuta a contestarla. Nella misura in cui ha obbligato la convenuta a versare all'attore fr. 1000.–, la Giudice di pace ha manifestamente ignorato i presupposti per riconoscere la riparazione del torto morale. Ne segue che anche al proposito, la decisione impugnata si rivela erra­ta.</w:t>
      </w:r>
    </w:p>
    <w:p>
      <w:r>
        <w:rPr>
          <w:b/>
        </w:rPr>
        <w:t>E. 14</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dell'attore (art. 106 cpv. 1 CPC), tanto in prima quanto in seconda sede. Non entra in linea di conto invece l'assegnazione di ripetibili, la convenuta essendosi potuta difendere dinanzi alla Giudice di pace e avendo potuto reclamare davanti a questa Camera senza ricorrere all'assistenza di un patrocinatore (art. 95 cpv. 3 lett. b CPC). Né la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dell'attor e. Non si assegnano ripetibili. II.   Le spese di reclamo di fr. 150.–, da anticipare dalla reclamante, sono poste a carico di AO 1. III.   Notificazione a: –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