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16.2019.45 vom 17. September 2019</w:t>
      </w:r>
    </w:p>
    <w:p>
      <w:r>
        <w:t>TI Tribunale d'appello, 2019-09-17, IT</w:t>
      </w:r>
    </w:p>
    <w:p>
      <w:r>
        <w:rPr>
          <w:b/>
        </w:rPr>
        <w:t xml:space="preserve">Quelle: </w:t>
      </w:r>
      <w:r>
        <w:t>https://mcp.opencaselaw.ch/entscheid/ti_gerichte_16.2019.45</w:t>
      </w:r>
    </w:p>
    <w:p>
      <w:r>
        <w:t>FR: TI_GERICHTE 16.2019.45 du 17 septembre 2019</w:t>
      </w:r>
    </w:p>
    <w:p>
      <w:r>
        <w:t>IT: TI_GERICHTE 16.2019.45 del 17 settembre 2019</w:t>
      </w:r>
    </w:p>
    <w:p>
      <w:pPr>
        <w:pStyle w:val="Heading2"/>
      </w:pPr>
      <w:r>
        <w:t>Erwägungen</w:t>
      </w:r>
    </w:p>
    <w:p>
      <w:r>
        <w:rPr>
          <w:b/>
        </w:rPr>
        <w:t>E. 1</w:t>
      </w:r>
    </w:p>
    <w:p>
      <w:r>
        <w:t>Dandosi una transazione stragiudiziale il giudice stralcia la causa dal ruolo per desistenza, acquiescenza o sopravvenuta carenza d'oggetto, non per transazione. Sulle spese egli applica pertanto l'art. 106 cpv. 1 seconda frase in relazione con l'art. 107 cpv. 1 lett. e CPC, tranne che le parti facciano registrare a verbale quanto la transazione stragiudiziale prevede in materia di spese, nel qual caso l'accordo assume su tal punto il carattere di una transazione giudiziale ( RtiD I-2015 pag. 969 n. 64c ).</w:t>
      </w:r>
    </w:p>
    <w:p>
      <w:r>
        <w:rPr>
          <w:b/>
        </w:rPr>
        <w:t>E. 2</w:t>
      </w:r>
    </w:p>
    <w:p>
      <w:r>
        <w:t>Nella fattispecie le parti non hanno sottoposto a questa Camera l'accordo da loro concluso per essere messo a verbale. Di conseguenza la causa va stralciata dal ruolo per sopravvenuta carenza d’oggetto. In merito alle spese del presente decreto, non risulta essere stato pattuito alcunché, ma tenuto conto che della buona volontà dimostrata dalle parti nel comporre la lite in via amichevole si rinuncia – eccezionalmente –  al prelievo di spese processuali . Quanto alle ripetibili, lo stesso CO 1 ha proposto di compensarle.</w:t>
      </w:r>
    </w:p>
    <w:p>
      <w:r>
        <w:rPr>
          <w:b/>
        </w:rPr>
        <w:t>E. 3</w:t>
      </w:r>
    </w:p>
    <w:p>
      <w:r>
        <w:t>Riguardo al gratuito patrocinio richiesto da RE 1, il relativo beneficio è un diritto altamente personale , nel senso che se per un motivo qualsiasi il richiedente viene meno come parte al processo (fosse solo perché il processo diventa senza oggetto, come nel caso specifico), tale diritto si estingue. E se al momento dello stralcio della causa dal ruolo il richiedente non ha ancora ottenuto il beneficio richiesto, la domanda diventa caduca (RtiD II-2006 pag. 614 n. 3c con richiami alla giurisprudenza del Tribunale federale; da ultimo: I CCA, sentenza inc. 11.2017.44 del 2 giugno 2017 consid. 5). Per questi motivi, decreta: 1.   I reclami sono dichiarati senza oggetto e le cause sono stralciate dal ruolo. 2.   Non si riscuotono spese processuali né si assegnano ripetibili. 3.   La richiesta di gratuito patrocinio formulata da RE 1 è dichiarata senza interesse 4.   Notificazione a: – avv.   ; – avv.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