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16.2014.62 vom 21. Oktober 2015</w:t>
      </w:r>
    </w:p>
    <w:p>
      <w:r>
        <w:t>TI Tribunale d'appello, 2015-10-21, IT</w:t>
      </w:r>
    </w:p>
    <w:p>
      <w:r>
        <w:rPr>
          <w:b/>
        </w:rPr>
        <w:t xml:space="preserve">Quelle: </w:t>
      </w:r>
      <w:r>
        <w:t>https://mcp.opencaselaw.ch/entscheid/ti_gerichte_16.2014.62</w:t>
      </w:r>
    </w:p>
    <w:p>
      <w:r>
        <w:t>FR: TI_GERICHTE 16.2014.62 du 21 octobre 2015</w:t>
      </w:r>
    </w:p>
    <w:p>
      <w:r>
        <w:t>IT: TI_GERICHTE 16.2014.62 del 21 ottobre 2015</w:t>
      </w:r>
    </w:p>
    <w:p>
      <w:pPr>
        <w:pStyle w:val="Heading2"/>
      </w:pPr>
      <w:r>
        <w:t>Regeste</w:t>
      </w:r>
    </w:p>
    <w:p>
      <w:r>
        <w:t>Contratto di locazione - espulsione del conduttore a fine contratto - restituzione dell'ente locato - riconsegna delle chiavi al locatore</w:t>
      </w:r>
    </w:p>
    <w:p>
      <w:pPr>
        <w:pStyle w:val="Heading2"/>
      </w:pPr>
      <w:r>
        <w:t>Erwägungen</w:t>
      </w:r>
    </w:p>
    <w:p>
      <w:r>
        <w:rPr>
          <w:b/>
        </w:rPr>
        <w:t>E. 1</w:t>
      </w:r>
    </w:p>
    <w:p>
      <w:r>
        <w:t>Le decisioni in materia di tutela giurisdizionale nei casi manifesti (art. 257 CPC) sono impugnabili, trattandosi di procedura sommaria, entro 10 giorni dalla notificazione (art. 321 cpv. 2 CPC). In concreto, il Pretore ha indicato il valore litigioso in fr. 9000.–, donde la competenza di questa Camera (art. 48 lett. d n. 1 LOG). Quanto alla tempestività del rimedio, la decisione impugnata è pervenuta al convenuto al più presto il 15 novembre 2014, sicché il reclamo consegnato alla Posta svizzera il 25 novembre 2014 (cfr. busta di intimazione) è senz'altro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Spetta al reclamante, pena l'irricevibilità del suo reclamo, spiegare in modo conciso in cosa consista la violazione del diritto e su quali punti il giudizio contestato viene impugnato (DTF 134 II 246 consid. 2.1).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 manifestamente errato "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140 III 19 consid. 2 .1 con rinvii). Un apprezzamento delle prove è arbitrario solo quando l'autorità inferiore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(DTF 140 III 266 consid. 2.3 con rinvii). 3.  RE 1 allega al reclamo il contratto di lavoro del 14 dicembre 2012 concluso tra lui e la __________ Sagl (doc. 2), l' insinuazione di credito del 2 ottobre 2014 nella pratica fallimentare della __________ Sagl da lui presentata (doc. 4) e le dichiarazion i del 24 novembre 2014 di M__________ e di G__________ (doc. 5 e doc. 6). Tale documentazione, non sottoposta al Pretore, è inammissibile, l'art. 326 cpv. 1 CPC vietando alle parti di avvalersi davanti all'autorità di reclamo di nuove conclusioni, nuovi fatti o nuovi mezzi di prova ( Jeandin in: Code de procédure civile commenté, Basilea 2011, n. 2 ad art. 326).</w:t>
      </w:r>
    </w:p>
    <w:p>
      <w:r>
        <w:rPr>
          <w:b/>
        </w:rPr>
        <w:t>E. 4</w:t>
      </w:r>
    </w:p>
    <w:p>
      <w:r>
        <w:t>Nella sua decisione il Pretore ha accertato che il 20 agosto 2014 la locatrice aveva confermato al convenuto di concedergli una proroga fino al 31 agosto 2014 e che per tale scadenza il convenuto non aveva provveduto alla regolare riconsegna dell'ente locato, giacché la restituzione completa e definitiva di un bene locato implica la riconsegna di tutte le chiavi al locatore.</w:t>
      </w:r>
    </w:p>
    <w:p>
      <w:r>
        <w:rPr>
          <w:b/>
        </w:rPr>
        <w:t>E. 5</w:t>
      </w:r>
    </w:p>
    <w:p>
      <w:r>
        <w:t>Il reclamante chiede preliminarmente di verificare se l ' istante fosse stata validamente rappresentata all ' udienza del 12 novembre 2014 da A__________, rilevando che quest ' ultimo poteva rappresentare la __________ Sagl di cui era socio e gerente, ma non la CO 1. Ora, è vero che A__________ non ha diritto di firma per la CO 1. Se non che, conformemente all ' art. 68 cpv. 3 CPC secondo cui “il rappresentante deve legittimarsi mediante procura”, al dibattimento del 12 novembre 2014 A__________ ha prodotto una procura rilasciata l ' 11 novembre 2014 da G__________ G__________, all ' epoca amministratrice unica della CO 1 , che lo ha legittimato a rappresentare la società istante all'udienza. Su questo punto il reclamo si rivela pertanto infondato.</w:t>
      </w:r>
    </w:p>
    <w:p>
      <w:r>
        <w:rPr>
          <w:b/>
        </w:rPr>
        <w:t>E. 6</w:t>
      </w:r>
    </w:p>
    <w:p>
      <w:r>
        <w:t>Per RE 1, la decisione del Pretore deve essere annullata, perché non è possibile ordinare la sua espulsione dall'appartamento, giacché lo ha già lasciato nel mese di febbraio 2014 tant'è che non ne possiede nemmeno le chiavi. Egli riconosce di non avere consegnato le chiavi direttamente alla locatrice, ma sostiene che ciò non le ha in realtà impedito di rientrare in possesso dell'ente locato. A suo parere, il fatto che il 3 febbraio 2014 la CO 1 gli abbia scritto di avere “bisogno urgentemente” dell'ente locato senza però farsi viva fino al 20 agosto, dimostra che essa è entrata regolarmente in possesso dell'appartamento. L'istanza di sfratto, giunta in concomitanza con la procedura fallimentare che ha coinvolto la __________ Sagl, sarebbe pertanto meramente pretestuosa. Il reclamante, soggiunge che il contratto di locazione è terminato il 31 gennaio 2014 e egli avrebbe beneficiato solo di qualche giorno supplementare per lo sgombero e non di una vera proroga, la quale avrebbe richiesto le forma scritta. Inoltre, se fosse stato veramente considerato dalla CO 1 un suo inquilino anche dopo la fine di gennaio 2014, egli non si spiega il motivo per cui essa ha atteso fino al 20 agosto 2014 per sollecitare il pagamento delle pigioni a suo dire scoperte. a) L'art. 267 cpv. 1 CO stabilisce che alla fine della locazione il conduttore è tenuto a restituire la cosa locata nello stato risultante da un uso conforme al contratto. Se non lo fa, il locatore può chiedere lo sfratto, ovvero il suo allontanamento forzato. In altre parole, la procedura di sfratto (espulsione) mira ad ottenere dal conduttore la riconsegna dei locali che continua ad occupare nonostante la locazione sia giunta al termine (DTF 132 III 747 consid. 5). Vi è restituzione ai sensi dell'art. 267 cpv. 1 CO solo quando il conduttore ha restituito le chiavi dell'ente locato e portato via gli oggetti che non appartengono al locatore (sentenza del Tribunale federale 4A_388/2014 del 7 gennaio 2014, consid. 2.1 con riferimenti). Il conduttore, essendo debitore dell'obbligazione di restituzione dell'immobile locato, è tenuto, in virtù dell’art. 8 CC, a provare i fatti che permettono di costatare che ha adempiuto tale obbligazione (sentenza del Tribunale federale 4A_220/208 del 7 agosto 2008, consid. 3). b) In concreto, per sue stesse ammissioni RE 1 non ha restituito le chiavi direttamente nelle mani del locatore, ma le ha lasciate su di un tavolo del ristorante __________. La circostanza, contestata dall'istante, non è però stata provata, le dichiarazioni scritte di due testimoni non essendo ammissibili in questa sede. Ne segue che, non avendo il convenuto dimostrat o di aver compiutamente adempiuto alle sue incombenze, il Pretore poteva legittimamente ritenere che la riconsegna dell'ente locato non era stata completamente eseguita, tanto più che lo stesso reclamante ammette di avere lasciato “un paio di mobili” nell'appartamento. Nella misura in cui asserisce poi che l'istante ha comunque sia potuto riprendere il possesso dell'ente locato, il reclamante adduce una tesi, oltre che nuova, apodittica, senza alcun riscontro agli atti. In circostanze del genere la decisione impugnata non presta il fianco a critiche. Ciò posto, il reclamo, che non ha evidenziato nessun errore manifesto nelle risultanze istruttorie o nell'applicazione del diritto da parte del primo giudice, deve essere respinto.</w:t>
      </w:r>
    </w:p>
    <w:p>
      <w:r>
        <w:rPr>
          <w:b/>
        </w:rPr>
        <w:t>E. 7</w:t>
      </w:r>
    </w:p>
    <w:p>
      <w:r>
        <w:t>Le spese giudiziarie seguono la soccombenza (art. 106 cpv. 1 CPC). Non si pone problema di indennità alla controparte, la quale ha rinunciato a formulare osservazioni al reclamo. Per questi motivi, decide: 1.  Il reclamo è respinto. 2.  Le spese giudiziarie di complessivi fr. 500.– sono poste a carico del reclamante. 3.  Notificazione a: –; –. Comunicazione alla Pretura del Distretto di Lugano, sezione 4.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