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16.2014.20 vom 19. Oktober 2015</w:t>
      </w:r>
    </w:p>
    <w:p>
      <w:r>
        <w:t>TI Tribunale d'appello, 2015-10-19, IT</w:t>
      </w:r>
    </w:p>
    <w:p>
      <w:r>
        <w:rPr>
          <w:b/>
        </w:rPr>
        <w:t xml:space="preserve">Quelle: </w:t>
      </w:r>
      <w:r>
        <w:t>https://mcp.opencaselaw.ch/entscheid/ti_gerichte_16.2014.20</w:t>
      </w:r>
    </w:p>
    <w:p>
      <w:r>
        <w:t>FR: TI_GERICHTE 16.2014.20 du 19 octobre 2015</w:t>
      </w:r>
    </w:p>
    <w:p>
      <w:r>
        <w:t>IT: TI_GERICHTE 16.2014.20 del 19 ottobre 2015</w:t>
      </w:r>
    </w:p>
    <w:p>
      <w:pPr>
        <w:pStyle w:val="Heading2"/>
      </w:pPr>
      <w:r>
        <w:t>Regeste</w:t>
      </w:r>
    </w:p>
    <w:p>
      <w:r>
        <w:t>Mandato - ricevibilità del reclamo - esigenze di motivazione del reclamo</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all'attrice al più presto l'8 aprile 2014, sicché il reclamo, introdotto il 24 aprile 2014 (cfr. timbro sulla busta d'invio raccomandato)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I l Giudice di pace ha accertato che sia nella procedura in esame sia in quella precedente di conciliazione, l'attrice si era limitata a presentare come prova a sostegno delle sue domande, la fattura da lei emessa il 30 gennaio 2012 per prestazioni professionali a favore della convenuta, in cui ha indicato di avere allestito “un memorandum relativo al progetto immobiliare in Via __________” e di avere avuto incontri “con il proprietario del terreno per esposizione del progetto” e “con i legali del venditore”. Tuttavia, ha soggiunto, la convenuta contesta di averle affidato l ' incarico di eseguire le prestazioni elencate nella fattura e agli atti non vi è alcuna documentazione che le provi, benché “il memorandum è un documento, l'esposizione di un progetto lo si fa con un progetto; normalmente incontri con dei legali sono confermati da scritti e appunti”. Ciò posto, egli ha respinto la petizione, considerando che l ' attrice, a cui incombeva giusta l ' art. 8 CC l ' onere della prova, non ha dimostrato la fondatezza delle sue pretese. C</w:t>
      </w:r>
    </w:p>
    <w:p>
      <w:r>
        <w:rPr>
          <w:b/>
        </w:rPr>
        <w:t>E. 4</w:t>
      </w:r>
    </w:p>
    <w:p>
      <w:r>
        <w:t>Per la reclamante il Giudice di pace, anziché accertare che la fattura in esame è stata da lei emessa nei confronti della convenuta, ha indicato erroneamente il contrario. Il che è vero, ma trattandosi – con ogni evidenza – di una palese svista, essa non ha avuto nessuna conseguenza sul merito della vertenza. Su questione non occorre dilungarsi.</w:t>
      </w:r>
    </w:p>
    <w:p>
      <w:r>
        <w:rPr>
          <w:b/>
        </w:rPr>
        <w:t>E. 5</w:t>
      </w:r>
    </w:p>
    <w:p>
      <w:r>
        <w:t>La reclamante contesta la decisione del Pretore, ribadendo di avere concluso con la convenuta un mandato “consistente nell'analisi degli aspetti fiscali di un'ipotizzata operazione immobiliare” e che non avrebbe avuto motivo di effettuare tale analisi se non su richiesta della controparte. A sostegno della sua versione dei fatti, propone l'audizione di __________ M__________ e __________ R__________, produce una email del 1° febbraio 2011 inviatale da E__________ M__________, amministratore unico della società CO 1 e l'estratto del Registro fondiario riguardante la particella n. __________ RFD di __________. Se non che l'art. 326 cpv. 1 CPC vieta alle parti di avvalersi davanti all'autorità di reclamo di nuove conclusioni, nuovi fatti o nuovi mezzi di prova ( Jeandin in: Code de procédure civile commenté, Basilea 2011, n. 2 ad art. 326). Premesso ciò, l'assunzione di testimonianze, non formulata davanti al primo giudice, è inammissibile, così come lo è la nuova documentazione prodotta per la prima volta con il reclamo. Quanto al fatto che secondo la reclamante il memorandum da lei allestito dimostrerebbe l'asserito incarico affidatole dalla convenuta, contrariamente a quanto da lei affermato, dal fascicolo processuale risulta che in prima sede nessun memorandum è stato prodotto, sicché l'allestimento di questo documento si esaurisce in una mera allegazione di parte, per nulla dimostrata. Per il resto, la reclamante contrappone la propria opinione a quella del primo giudice senza nemmeno pretendere che i fatti accertati dal primo giudice siano manifestamente errati, ovvero insostenibili, né sostenere che egli abbia erroneamente applicato il diritto. In siffatte circostanze, la decisione del Giudice di pace resiste alla critica. Ne discende che il reclamo – non motivato in modo sufficiente – si rivela irricevibile e può pertanto essere deciso in virtù dell'art. 48 b lett. a n. 2 LOG.</w:t>
      </w:r>
    </w:p>
    <w:p>
      <w:r>
        <w:rPr>
          <w:b/>
        </w:rPr>
        <w:t>E. 6</w:t>
      </w:r>
    </w:p>
    <w:p>
      <w:r>
        <w:t>Le spese giudiziarie seguono la soccombenza (art. 106 cpv. 1 CPC). Non si giustifica assegnare all'opponente un'indennità di inconvenienza (art. 95 cpv. 3 lett. c CPC), la redazione delle osservazioni non avendole causato spese di rilievo. Per questi motivi, decide: 1.  Il reclamo è irricevibile. 2.  Le spese processuali di fr. 350.– sono poste a carico della reclamante. 3.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