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16.2012.24 vom 27. April 2012</w:t>
      </w:r>
    </w:p>
    <w:p>
      <w:r>
        <w:t>TI Tribunale d'appello, 2012-04-27, IT</w:t>
      </w:r>
    </w:p>
    <w:p>
      <w:r>
        <w:rPr>
          <w:b/>
        </w:rPr>
        <w:t xml:space="preserve">Quelle: </w:t>
      </w:r>
      <w:r>
        <w:t>https://mcp.opencaselaw.ch/entscheid/ti_gerichte_16.2012.24</w:t>
      </w:r>
    </w:p>
    <w:p>
      <w:r>
        <w:t>FR: TI_GERICHTE 16.2012.24 du 27 avril 2012</w:t>
      </w:r>
    </w:p>
    <w:p>
      <w:r>
        <w:t>IT: TI_GERICHTE 16.2012.24 del 27 aprile 2012</w:t>
      </w:r>
    </w:p>
    <w:p>
      <w:pPr>
        <w:pStyle w:val="Heading2"/>
      </w:pPr>
      <w:r>
        <w:t>Regeste</w:t>
      </w:r>
    </w:p>
    <w:p>
      <w:r>
        <w:t>Locazione - oggetto di impugnativa - domanda supercautelare - reiezione della domanda - non impugnabile</w:t>
      </w:r>
    </w:p>
    <w:p>
      <w:pPr>
        <w:pStyle w:val="Heading2"/>
      </w:pPr>
      <w:r>
        <w:t>Erwägungen</w:t>
      </w:r>
    </w:p>
    <w:p>
      <w:r>
        <w:rPr>
          <w:b/>
        </w:rPr>
        <w:t>E. 21</w:t>
      </w:r>
    </w:p>
    <w:p>
      <w:r>
        <w:t>ottobre 2011 consid. 1 e 2); che quindi, l'”ordinanza” 13 aprile 2012 non è un atto impugnabile, di modo che il reclamo sfugge a qualsiasi esame; che le spese processuali seguono la soccombenza (art. 106 cpv. 1 CPC); che non si pone problema di ripetibili, il reclamo non essendo stato oggetto di notificazione. Per questi motivi, in applicazione dell'art. 322 CPC e vista sulle spese anche la tariffa giudiziaria decide: 1.   Il reclamo è irricevibile . 2.   Le spese giudiziarie, di complessivi fr. 150.–, sono poste a carico del reclamante. 3.   Notificazione a: – ; – ; – e ; – ; – . Comunicazione alla Pretura del Distretto di Lugano, sezione 4.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