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16.2012.16 vom 21. März 2012</w:t>
      </w:r>
    </w:p>
    <w:p>
      <w:r>
        <w:t>TI Tribunale d'appello, 2012-03-21, IT</w:t>
      </w:r>
    </w:p>
    <w:p>
      <w:r>
        <w:rPr>
          <w:b/>
        </w:rPr>
        <w:t xml:space="preserve">Quelle: </w:t>
      </w:r>
      <w:r>
        <w:t>https://mcp.opencaselaw.ch/entscheid/ti_gerichte_16.2012.16</w:t>
      </w:r>
    </w:p>
    <w:p>
      <w:r>
        <w:t>FR: TI_GERICHTE 16.2012.16 du 21 mars 2012</w:t>
      </w:r>
    </w:p>
    <w:p>
      <w:r>
        <w:t>IT: TI_GERICHTE 16.2012.16 del 21 marzo 2012</w:t>
      </w:r>
    </w:p>
    <w:p>
      <w:pPr>
        <w:pStyle w:val="Heading2"/>
      </w:pPr>
      <w:r>
        <w:t>Regeste</w:t>
      </w:r>
    </w:p>
    <w:p>
      <w:r>
        <w:t>Compravendita - assenza all'udienza - istanza di restituzione in intero - presupposti - rinvio dell'udienza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000 franchi (o almeno 15 000 franchi nelle controversie in materia di diritto del lavoro e di locazione), è ammissibile, entro trenta giorni dalla notificazione della decisione (art. 100 cpv. 1 LTF), il ricorso in materia civile al Tribunale federale, 1000 Losanna 14, per i motivi previsti dagli art. 95 a 98 LTF (art. 72 e 74 LTF), solo se la controversia concerne una questione di diritto di importanza fondamen­tale (art. 74 cpv. 2). La legittimazione a ricorrere è disciplinata dall'art. 76 LTF. Laddove non sia ammissibile il ricorso in materia civile è dato, entro lo stesso termine, il ricorso sussidiario in materia costituzionale al Tribunale federale per i motivi previsti dall'art. 116 LTF (art. 113 LTF). La legittimazione a ricorrere è disciplinata in tal caso dall'art. 115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