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16.2011.76 vom 5. März 2012</w:t>
      </w:r>
    </w:p>
    <w:p>
      <w:r>
        <w:t>TI Tribunale d'appello, 2012-03-05, IT</w:t>
      </w:r>
    </w:p>
    <w:p>
      <w:r>
        <w:rPr>
          <w:b/>
        </w:rPr>
        <w:t xml:space="preserve">Quelle: </w:t>
      </w:r>
      <w:r>
        <w:t>https://mcp.opencaselaw.ch/entscheid/ti_gerichte_16.2011.76</w:t>
      </w:r>
    </w:p>
    <w:p>
      <w:r>
        <w:t>FR: TI_GERICHTE 16.2011.76 du 5 mars 2012</w:t>
      </w:r>
    </w:p>
    <w:p>
      <w:r>
        <w:t>IT: TI_GERICHTE 16.2011.76 del 5 marzo 2012</w:t>
      </w:r>
    </w:p>
    <w:p>
      <w:pPr>
        <w:pStyle w:val="Heading2"/>
      </w:pPr>
      <w:r>
        <w:t>Regeste</w:t>
      </w:r>
    </w:p>
    <w:p>
      <w:r>
        <w:t>Contratto di mandato - procedura di conciliazione - richiesta di giudizio - facoltà dell'autorità di conciliazione di emanare o meno una decisione - decisione nei casi bagatella - autorizzazione ad agire non è una decisione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000 franchi (o almeno 15 000 franchi nelle controversie in materia di diritto del lavoro e di locazione), è ammissibile, entro trenta giorni dalla notificazione della decisione (art. 100 cpv. 1 LTF), il ricorso in materia civile al Tribunale federale, 1000 Losanna 14, per i motivi previsti dagli art. 95 a 98 LTF (art. 72 e 74 LTF), solo se la controversia concerne una questione di diritto di importanza fondamen­tale (art. 74 cpv. 2).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