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16.2011.75 vom 24. Januar 2012</w:t>
      </w:r>
    </w:p>
    <w:p>
      <w:r>
        <w:t>TI Tribunale d'appello, 2012-01-24, IT</w:t>
      </w:r>
    </w:p>
    <w:p>
      <w:r>
        <w:rPr>
          <w:b/>
        </w:rPr>
        <w:t xml:space="preserve">Quelle: </w:t>
      </w:r>
      <w:r>
        <w:t>https://mcp.opencaselaw.ch/entscheid/ti_gerichte_16.2011.75</w:t>
      </w:r>
    </w:p>
    <w:p>
      <w:r>
        <w:t>FR: TI_GERICHTE 16.2011.75 du 24 janvier 2012</w:t>
      </w:r>
    </w:p>
    <w:p>
      <w:r>
        <w:t>IT: TI_GERICHTE 16.2011.75 del 24 gennaio 2012</w:t>
      </w:r>
    </w:p>
    <w:p>
      <w:pPr>
        <w:pStyle w:val="Heading2"/>
      </w:pPr>
      <w:r>
        <w:t>Regeste</w:t>
      </w:r>
    </w:p>
    <w:p>
      <w:r>
        <w:t>Azione negatoria - ricevibilità del reclamo - contenuto - reclamo in tedesco</w:t>
      </w:r>
    </w:p>
    <w:p>
      <w:pPr>
        <w:pStyle w:val="Heading2"/>
      </w:pPr>
      <w:r>
        <w:t>Erwägungen</w:t>
      </w:r>
    </w:p>
    <w:p>
      <w:r>
        <w:rPr>
          <w:b/>
        </w:rPr>
        <w:t>E. 1</w:t>
      </w:r>
    </w:p>
    <w:p>
      <w:r>
        <w:t>Secondo l'art. 320 CPC con il reclamo può essere censurata l'errata applicazione del diritto (lett. a) e/o l'accertamento manifestamente errato dei fatti (lett. b). Il reclamo deve essere motivato (art. 321 cpv. 1 CPC), nel senso che il reclamante non può limitarsi a criticare la decisione impugnata come in una procedura d'appello, dove l'autorità di ricorso gode di cognizione libera, opponendo semplicemente la propria opinione a quella del primo giudice ( DTF 136 II 494 consid. 2.8;  134 II 351 consid. 3; 133 III 589 consid. 4.1), bensì deve dimostrare, attraverso un'argomentazione chiara e dettagliata, che l'autorità inferiore ha emanato una decisione manifestamente insostenibile, destituita di fondamento serio e oggettivo o in urto palese con il senso di giustizia ed equità ( DTF 135 V 4 consid. 1.3, con rinvii). Non basta segnatamente che il ricorrente affermi l'arbitrarietà della decisione impugnata adducendo considerazioni generiche ( DTF 133 III 591 consid. 2).</w:t>
      </w:r>
    </w:p>
    <w:p>
      <w:r>
        <w:rPr>
          <w:b/>
        </w:rPr>
        <w:t>E. 2</w:t>
      </w:r>
    </w:p>
    <w:p>
      <w:r>
        <w:t>I n concreto il contenuto dello scritto 16 dicembre 2011 della reclamante non supera la soglia imposta dalla procedura per essere trattato come reclamo. Per tacere del fatto che le contestazioni sollevate per la prima volta in questa sede sono nuove e dunque irricevibili ( art. 326 cpv. 1 CPC), la reclamante invece di indicare a questa Camera le sue critiche alla decisione del Pretore sull'applicazione di norme di diritto o sull'accertamento dei fatti, si limita a non condividere la decisione della Comunione dei comproprietari di obbligarla a rimuovere l'antenna satellitare, rimproverandole inoltre di non aver neppure tentato di trovare una soluzione alternativa nell'interesse di entrambe le parti. Di conseguenza, a fronte di un reclamo che non concretizza nessuna censura nei confronti del giudizio impugnato, questa Camera è nell'impossibilità di individuare e giudicare i presupposti per un eventuale annullamento della decisione impugnata, peraltro neppure richiesto dalla reclamante ( Trezzini in: Commentario CPC 2011 , art. 321 pag. 1411 e art. 311 pag. 1367; Jeandin in: Code de procédure civile commenté, Basilea 2011 , n. 3 ad art. 311 e n. 5 ad art 321).</w:t>
      </w:r>
    </w:p>
    <w:p>
      <w:r>
        <w:rPr>
          <w:b/>
        </w:rPr>
        <w:t>E. 3</w:t>
      </w:r>
    </w:p>
    <w:p>
      <w:r>
        <w:t>Ne discende ch e il “reclamo” , a prescindere dalla sua redazione in lingua tedesca e quindi in contrasto con quanto dispone l'art. 129 CPC secondo il quale il procedimento si svolge nella lingua ufficiale del Cantone, ovvero l'italiano nel Cantone Ticino, si rivela manifestamente irricevibile.</w:t>
      </w:r>
    </w:p>
    <w:p>
      <w:r>
        <w:rPr>
          <w:b/>
        </w:rPr>
        <w:t>E. 4</w:t>
      </w:r>
    </w:p>
    <w:p>
      <w:r>
        <w:t>Le spese giudiziarie seguirebbero la soccombenza (art. 106 cpv. 1 CPC), tuttavia, le circostanze del caso specifico inducono a rinunciare – eccezionalmente – a ogni prelievo, la reclamante essendo sprovvista di cognizioni giuridiche e avendo agito senza l'ausilio di un patrocinatore (art. 107 cpv. 1 lett. f CPC). Non si pone invece problema di ripetibili all'istante, alla quale il reclamo non è stato notificato per osservazioni. Per questi motivi, in applicazione dell'art. 322 CPC decide: 1.   Il reclamo è irricevibile. 2.   Non si prelevano spese giudiziarie, né si assegnano ripetibili. 3.   Intimazione a: –; –. Comunicazione alla Pretura della giurisdizione di Locarno Campagna.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