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16.2011.60 vom 17. Oktober 2011</w:t>
      </w:r>
    </w:p>
    <w:p>
      <w:r>
        <w:t>TI Tribunale d'appello, 2011-10-17, IT</w:t>
      </w:r>
    </w:p>
    <w:p>
      <w:r>
        <w:rPr>
          <w:b/>
        </w:rPr>
        <w:t xml:space="preserve">Quelle: </w:t>
      </w:r>
      <w:r>
        <w:t>https://mcp.opencaselaw.ch/entscheid/ti_gerichte_16.2011.60</w:t>
      </w:r>
    </w:p>
    <w:p>
      <w:r>
        <w:t>FR: TI_GERICHTE 16.2011.60 du 17 octobre 2011</w:t>
      </w:r>
    </w:p>
    <w:p>
      <w:r>
        <w:t>IT: TI_GERICHTE 16.2011.60 del 17 ottobre 2011</w:t>
      </w:r>
    </w:p>
    <w:p>
      <w:pPr>
        <w:pStyle w:val="Heading2"/>
      </w:pPr>
      <w:r>
        <w:t>Regeste</w:t>
      </w:r>
    </w:p>
    <w:p>
      <w:r>
        <w:t>Contratto di carta di credito - reclamo - contenuto - ricevibilità - irricevibile dichiarazione di reclamo - lingua del procedimento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000 franchi (o almeno 15 000 franchi nelle controversie in materia di diritto del lavoro e di locazione), è ammissibile, entro trenta giorni dalla notificazione della decisione (art. 100 cpv. 1 LTF), il ricorso in materia civile al Tribunale federale, 1000 Losanna 14, per i motivi previsti dagli art. 95 a 98 LTF (art. 72 e 74 LTF), solo se la controversia concerne una questione di diritto di importanza fondamen­tale (art. 74 cpv. 2). La legittimazione a ricorrere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