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16.2011.58 vom 25. Juni 2012</w:t>
      </w:r>
    </w:p>
    <w:p>
      <w:r>
        <w:t>TI Tribunale d'appello, 2012-06-25, IT</w:t>
      </w:r>
    </w:p>
    <w:p>
      <w:r>
        <w:rPr>
          <w:b/>
        </w:rPr>
        <w:t xml:space="preserve">Quelle: </w:t>
      </w:r>
      <w:r>
        <w:t>https://mcp.opencaselaw.ch/entscheid/ti_gerichte_16.2011.58</w:t>
      </w:r>
    </w:p>
    <w:p>
      <w:r>
        <w:t>FR: TI_GERICHTE 16.2011.58 du 25 juin 2012</w:t>
      </w:r>
    </w:p>
    <w:p>
      <w:r>
        <w:t>IT: TI_GERICHTE 16.2011.58 del 25 giugno 2012</w:t>
      </w:r>
    </w:p>
    <w:p>
      <w:pPr>
        <w:pStyle w:val="Heading2"/>
      </w:pPr>
      <w:r>
        <w:t>Regeste</w:t>
      </w:r>
    </w:p>
    <w:p>
      <w:r>
        <w:t>Contratto di lavoro - surrogazione cassa disoccupazione</w:t>
      </w:r>
    </w:p>
    <w:p>
      <w:pPr>
        <w:pStyle w:val="Heading2"/>
      </w:pPr>
      <w:r>
        <w:t>Erwägungen</w:t>
      </w:r>
    </w:p>
    <w:p>
      <w:r>
        <w:rPr>
          <w:b/>
        </w:rPr>
        <w:t>E. 2</w:t>
      </w:r>
    </w:p>
    <w:p>
      <w:r>
        <w:t>Il Pretore, ammessa la validità del contratto di lavoro e della sua scadenza al 31 marzo 2010, ha riconosciuto al lavoratore il diritto al salario fino a tale data e ha accertato che il salario dell'ultimo mese era stato percepito dalla CO 1. La reclamante non condivide questi accertamenti e ripropone la sua contestazione in merito alla nullità del contratto di lavoro. a) Ora, come accertato dalla seconda Camera civile del Tribunale di appello nella decisione 16 aprile 2012, passata in giudicato, il contratto di lavoro concluso dalle parti era valido e il rapporto di lavoro si è concluso il 31 marzo 2010. Ciò basta per legittimare la pretesa dell'istante volta alla restituzione delle indennità di disoccupazione dalla stessa anticipate al lavoratore e, di conseguenza, escludere che il Pretore sia incorso in un accertamento manifestamente errato dei fatti o in un'applicazione errata del diritto. b) Quanto agli importi posti in compensazione dalla datrice di lavoro per danni dalla stessa addebitati al lavoratore, anche in questo caso la decisione del primo giudice non può essere considerata manifestamente insostenibile. La seconda Camera civile ha, al riguardo, confermato il giudizio del Pretore che ha escluso una responsabilità del dipendente sia con riferimento al mancato incasso dei sussidi cantonali per l'incentivo all'assunzione (cfr. consid. 4 e 5), che al danneggiamento del furgone della ditta e ai lavori mal eseguiti da quest'ultimo, con conseguente esclusione di una qualsiasi responsabilità del lavoratore ai sensi dell'art. 321 e CO (cfr. consid. 6 e 7). Ciò posto il reclamo, che non ha evidenziato nessun errore nella valutazione dei fatti o nell'applicazione del diritto da parte del primo giudice, deve essere respinto.</w:t>
      </w:r>
    </w:p>
    <w:p>
      <w:r>
        <w:rPr>
          <w:b/>
        </w:rPr>
        <w:t>E. 3</w:t>
      </w:r>
    </w:p>
    <w:p>
      <w:r>
        <w:t>La procedura nelle azioni derivanti da contratto di lavoro è gratuita (art. 114 lett. c CPC) salvo in caso di malafede o temerarietà processuali estranee alla fattispecie (art. 115 CPC). All'istante, che ha rinunciato a formulare osservazioni al ricorso, non vengono assegnate ripetibili. Per questi motivi, decide: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