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16.2011.19 vom 10. Mai 2011</w:t>
      </w:r>
    </w:p>
    <w:p>
      <w:r>
        <w:t>TI Tribunale d'appello, 2011-05-10, IT</w:t>
      </w:r>
    </w:p>
    <w:p>
      <w:r>
        <w:rPr>
          <w:b/>
        </w:rPr>
        <w:t xml:space="preserve">Quelle: </w:t>
      </w:r>
      <w:r>
        <w:t>https://mcp.opencaselaw.ch/entscheid/ti_gerichte_16.2011.19</w:t>
      </w:r>
    </w:p>
    <w:p>
      <w:r>
        <w:t>FR: TI_GERICHTE 16.2011.19 du 10 mai 2011</w:t>
      </w:r>
    </w:p>
    <w:p>
      <w:r>
        <w:t>IT: TI_GERICHTE 16.2011.19 del 10 maggio 2011</w:t>
      </w:r>
    </w:p>
    <w:p>
      <w:pPr>
        <w:pStyle w:val="Heading2"/>
      </w:pPr>
      <w:r>
        <w:t>Regeste</w:t>
      </w:r>
    </w:p>
    <w:p>
      <w:r>
        <w:t>Rigetto definitivo dell'opposizione - decisione di multa quale titolo esecutivo - carattere esecutivo della decisione - prova della notifica</w:t>
      </w:r>
    </w:p>
    <w:p>
      <w:pPr>
        <w:pStyle w:val="Heading2"/>
      </w:pPr>
      <w:r>
        <w:t>Erwägungen</w:t>
      </w:r>
    </w:p>
    <w:p>
      <w:r>
        <w:rPr>
          <w:b/>
        </w:rPr>
        <w:t>E. 1</w:t>
      </w:r>
    </w:p>
    <w:p>
      <w:r>
        <w:t>L'istanza è respinta</w:t>
      </w:r>
    </w:p>
    <w:p>
      <w:r>
        <w:rPr>
          <w:b/>
        </w:rPr>
        <w:t>E. 2</w:t>
      </w:r>
    </w:p>
    <w:p>
      <w:r>
        <w:t>La tassa di giustizia di fr. 40.–, da anticipare dalla parte istante, rimane a suo carico con l'obbligo di versare al convenuto un'indennità di fr. 10.–. II.   Non si prelevano tasse o spese per il presente giudizio, né si assegnano indennità. III.   Intimazione a: ; . Comunicazione alla Giudicatura di pace del circolo del Ticino. Per la Camera civile dei reclami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