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16.2011.13 vom 4. April 2011</w:t>
      </w:r>
    </w:p>
    <w:p>
      <w:r>
        <w:t>TI Tribunale d'appello, 2011-04-04, IT</w:t>
      </w:r>
    </w:p>
    <w:p>
      <w:r>
        <w:rPr>
          <w:b/>
        </w:rPr>
        <w:t xml:space="preserve">Quelle: </w:t>
      </w:r>
      <w:r>
        <w:t>https://mcp.opencaselaw.ch/entscheid/ti_gerichte_16.2011.13</w:t>
      </w:r>
    </w:p>
    <w:p>
      <w:r>
        <w:t>FR: TI_GERICHTE 16.2011.13 du 4 avril 2011</w:t>
      </w:r>
    </w:p>
    <w:p>
      <w:r>
        <w:t>IT: TI_GERICHTE 16.2011.13 del 4 aprile 2011</w:t>
      </w:r>
    </w:p>
    <w:p>
      <w:pPr>
        <w:pStyle w:val="Heading2"/>
      </w:pPr>
      <w:r>
        <w:t>Regeste</w:t>
      </w:r>
    </w:p>
    <w:p>
      <w:r>
        <w:t>Risarcimento danni - lesione a seguito di un pugno - prova dell'agire illecito e del nesso causale - contenuto del reclamo - ricevibilità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000 franchi (o almeno 15 000 franchi nelle controversie in materia di diritto del lavoro e di locazione), è ammissibile, entro trenta giorni dalla notificazione della decisione (art. 100 cpv. 1 LTF), il ricorso in materia civile al Tribunale federale, 1000 Losanna 14, per i motivi previsti dagli art. 95 a 98 LTF (art. 72 e 74 LTF), solo se la controversia concerne una questione di diritto di importanza fondamen­tale (art. 74 cpv. 2). La legittimazione a ricorrere è disciplinata dall'art. 76 LTF. Laddove non sia ammissibile il ricorso in materia civile è dato, entro lo stesso termine, il ricorso sussidiario in materia costituzionale al Tribunale federale per i motivi previsti dall'art. 116 LTF (art. 113 LTF). La legittimazione a ricorrere è disciplinata in tal caso dall'art. 115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