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16.2010.31 vom 2. Oktober 2006</w:t>
      </w:r>
    </w:p>
    <w:p>
      <w:r>
        <w:t>TI Tribunale d'appello, 2006-10-02, IT</w:t>
      </w:r>
    </w:p>
    <w:p>
      <w:r>
        <w:rPr>
          <w:b/>
        </w:rPr>
        <w:t xml:space="preserve">Quelle: </w:t>
      </w:r>
      <w:r>
        <w:t>https://mcp.opencaselaw.ch/entscheid/ti_gerichte_16.2010.31_d20061002</w:t>
      </w:r>
    </w:p>
    <w:p>
      <w:r>
        <w:t>FR: TI_GERICHTE 16.2010.31 du 2 octobre 2006</w:t>
      </w:r>
    </w:p>
    <w:p>
      <w:r>
        <w:t>IT: TI_GERICHTE 16.2010.31 del 2 ottobre 2006</w:t>
      </w:r>
    </w:p>
    <w:p>
      <w:pPr>
        <w:pStyle w:val="Heading2"/>
      </w:pPr>
      <w:r>
        <w:t>Regeste</w:t>
      </w:r>
    </w:p>
    <w:p>
      <w:r>
        <w:t>Rigetto definitivo dell'opposizione - sentenza quale titolo esecutivo - tempestività del ricorso - notifica raccomandata - restituzione in intero dopo la sentenza - richiesta nuova udienza - rinvio degli atti al pretore</w:t>
      </w:r>
    </w:p>
    <w:p>
      <w:pPr>
        <w:pStyle w:val="Heading2"/>
      </w:pPr>
      <w:r>
        <w:t>Erwägungen</w:t>
      </w:r>
    </w:p>
    <w:p>
      <w:r>
        <w:rPr>
          <w:b/>
        </w:rPr>
        <w:t>E. 16</w:t>
      </w:r>
    </w:p>
    <w:p>
      <w:r>
        <w:t>novembre 2009 con riferimenti); che in tali circostanze il memoriale va quindi rinviato al Pretore per essere vagliato a tale stregua, applicando la procedura analoga a quella prevista per la restituzione in intero contro le sentenze; che gli oneri processuali seguirebbero la soccombenza (art. 148 cpv. 1 CPC), ma si giustifica, per questa volta, di rinunciare ad ogni prelievo, il ricorrente essendo sprovvisto di cognizioni giuridiche e avendo agito senza l'ausilio di un patrocinatore; che non si pone problema di ripetibili alla controparte, l'atto non essendo stato intimato per osservazioni. Per questi motivi, in applicazione dell'art. 313 bis CPC, pronuncia: 1.   Trattato come ricorso per cassazione, l'atto è irricevibile 2.   L'atto è ritornato al Pretore perché esamini se può essere trattato come istanza di restituzione in intero contro il lasso dei termini. 3.   Non si prelevano tasse o spese, né si assegnano ripetibili. 4.   Intimazione a: –; . Comunicazione alla Pretura del Distretto di Lugano, sezione 5.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