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16.2010.114 vom 12. Januar 2011</w:t>
      </w:r>
    </w:p>
    <w:p>
      <w:r>
        <w:t>TI Tribunale d'appello, 2011-01-12, IT</w:t>
      </w:r>
    </w:p>
    <w:p>
      <w:r>
        <w:rPr>
          <w:b/>
        </w:rPr>
        <w:t xml:space="preserve">Quelle: </w:t>
      </w:r>
      <w:r>
        <w:t>https://mcp.opencaselaw.ch/entscheid/ti_gerichte_16.2010.114</w:t>
      </w:r>
    </w:p>
    <w:p>
      <w:r>
        <w:t>FR: TI_GERICHTE 16.2010.114 du 12 janvier 2011</w:t>
      </w:r>
    </w:p>
    <w:p>
      <w:r>
        <w:t>IT: TI_GERICHTE 16.2010.114 del 12 gennaio 2011</w:t>
      </w:r>
    </w:p>
    <w:p>
      <w:pPr>
        <w:pStyle w:val="Heading2"/>
      </w:pPr>
      <w:r>
        <w:t>Regeste</w:t>
      </w:r>
    </w:p>
    <w:p>
      <w:r>
        <w:t>Rigetto provvisorio dell'opposizione - contratto di locazione quale riconoscimento di debito - contratto sottoscritto solo dal marito - quando è vincolante anche per la moglie - eccezioni proponibili - inadempienza del contratto</w:t>
      </w:r>
    </w:p>
    <w:p>
      <w:pPr>
        <w:pStyle w:val="Heading2"/>
      </w:pPr>
      <w:r>
        <w:t>Erwägungen</w:t>
      </w:r>
    </w:p>
    <w:p>
      <w:r>
        <w:rPr>
          <w:b/>
        </w:rPr>
        <w:t>E. 2</w:t>
      </w:r>
    </w:p>
    <w:p>
      <w:r>
        <w:t>Gli oneri del presente giudizio, per complessivi fr. 150.–, sono posti a carico della ricorrente, che rifonderà alla controparte fr. 300.– per ripetibili. 3.   Intimazione a: –,; – avv., Comunicazione alla Pretura del Distretto di Lugano, sezione 5. Per la Camera civile dei reclami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