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16.2009.92 vom 30. November 2009</w:t>
      </w:r>
    </w:p>
    <w:p>
      <w:r>
        <w:t>TI Tribunale d'appello, 2009-11-30, IT</w:t>
      </w:r>
    </w:p>
    <w:p>
      <w:r>
        <w:rPr>
          <w:b/>
        </w:rPr>
        <w:t xml:space="preserve">Quelle: </w:t>
      </w:r>
      <w:r>
        <w:t>https://mcp.opencaselaw.ch/entscheid/ti_gerichte_16.2009.92</w:t>
      </w:r>
    </w:p>
    <w:p>
      <w:r>
        <w:t>FR: TI_GERICHTE 16.2009.92 du 30 novembre 2009</w:t>
      </w:r>
    </w:p>
    <w:p>
      <w:r>
        <w:t>IT: TI_GERICHTE 16.2009.92 del 30 novembre 2009</w:t>
      </w:r>
    </w:p>
    <w:p>
      <w:pPr>
        <w:pStyle w:val="Heading2"/>
      </w:pPr>
      <w:r>
        <w:t>Regeste</w:t>
      </w:r>
    </w:p>
    <w:p>
      <w:r>
        <w:t>Locazione - contestazione decisione ufficio di conciliazione - tempestività della contestazione - onere della prova della tempestività</w:t>
      </w:r>
    </w:p>
    <w:p>
      <w:pPr>
        <w:pStyle w:val="Heading2"/>
      </w:pPr>
      <w:r>
        <w:t>Erwägungen</w:t>
      </w:r>
    </w:p>
    <w:p>
      <w:r>
        <w:rPr>
          <w:b/>
        </w:rPr>
        <w:t>E. 1</w:t>
      </w:r>
    </w:p>
    <w:p>
      <w:r>
        <w:t>Il ricorso per cassazione è respinto.</w:t>
      </w:r>
    </w:p>
    <w:p>
      <w:r>
        <w:rPr>
          <w:b/>
        </w:rPr>
        <w:t>E. 2</w:t>
      </w:r>
    </w:p>
    <w:p>
      <w:r>
        <w:t>Non si prelevano tasse spese né si assegnano ripetibili.</w:t>
      </w:r>
    </w:p>
    <w:p>
      <w:r>
        <w:rPr>
          <w:b/>
        </w:rPr>
        <w:t>E. 3</w:t>
      </w:r>
    </w:p>
    <w:p>
      <w:r>
        <w:t>Intimazione a: ; . Comunicazione alla Pretura del Distretto di Lugano, sezione 4. Per la Camera di cassazione civile del Tribunale d'appello Il presidente                                                           La segretaria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