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16.2009.13 vom 13. Februar 2009</w:t>
      </w:r>
    </w:p>
    <w:p>
      <w:r>
        <w:t>TI Tribunale d'appello, 2009-02-13, IT</w:t>
      </w:r>
    </w:p>
    <w:p>
      <w:r>
        <w:rPr>
          <w:b/>
        </w:rPr>
        <w:t xml:space="preserve">Quelle: </w:t>
      </w:r>
      <w:r>
        <w:t>https://mcp.opencaselaw.ch/entscheid/ti_gerichte_16.2009.13</w:t>
      </w:r>
    </w:p>
    <w:p>
      <w:r>
        <w:t>FR: TI_GERICHTE 16.2009.13 du 13 février 2009</w:t>
      </w:r>
    </w:p>
    <w:p>
      <w:r>
        <w:t>IT: TI_GERICHTE 16.2009.13 del 13 febbraio 2009</w:t>
      </w:r>
    </w:p>
    <w:p>
      <w:pPr>
        <w:pStyle w:val="Heading2"/>
      </w:pPr>
      <w:r>
        <w:t>Regeste</w:t>
      </w:r>
    </w:p>
    <w:p>
      <w:r>
        <w:t>Contratto di compravendita - contratto tra consumatori - competenza territoriale - sede della Sagl - succursale - stabile organizzazione</w:t>
      </w:r>
    </w:p>
    <w:p>
      <w:pPr>
        <w:pStyle w:val="Heading2"/>
      </w:pPr>
      <w:r>
        <w:t>Erwägungen</w:t>
      </w:r>
    </w:p>
    <w:p>
      <w:r>
        <w:rPr>
          <w:b/>
        </w:rPr>
        <w:t>E. 12</w:t>
      </w:r>
    </w:p>
    <w:p>
      <w:r>
        <w:t>e 18 ad art. 5), ovvero uno stabile commerciale che, pur dipendendo dalla sede principale, esercita in locali separati un'attività analoga godendo di una certa autonomia e indipendenza (DTF 103 II 199); che infatti il negozio di M__________, oltre a non essere iscritto nel Registro di Commercio (art. 782 CO), utilizza per la sua attività commerciale la carta intestata della società lucernese, prestampata in lingua tedesca e con l'indicazione, in calce, della relazione bancaria della stessa (cfr. doc. A; Müller, op. cit., n. 21 ad art. 5); che l'utilizzo del termine filiale (cfr. doc. F) non è sufficiente per ritenere il negozio di M__________ una succursale (cfr. DTF 103 II 199)  e pertanto fondare la competenza territoriale del Pretore del Distretto di Lugano; che non avendo evidenziato nessun titolo di cassazione il ricorso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gli oneri del presente giudizio seguono la soccombenza del ricorrente (art. 148 cpv. 1 CPC), mentre non si attribuiscono ripetibili alla controparte alla quale non è stata chiesta la presentazione di osservazioni al ricorso. Per questi motivi, vista sulle spese anche la tariffa giudiziaria pronuncia:              1. Il ricorso per cassazione è respinto. 2. Gli oneri processuali, consistenti in: a) tassa di giustizia     fr.  250.– b) spese                       fr. 50.– fr. 300.– sono poste a carico del ricorrente. Non si assegnano ripetibili.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