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16.2009.120 vom 21. Dezember 2009</w:t>
      </w:r>
    </w:p>
    <w:p>
      <w:r>
        <w:t>TI Tribunale d'appello, 2009-12-21, IT</w:t>
      </w:r>
    </w:p>
    <w:p>
      <w:r>
        <w:rPr>
          <w:b/>
        </w:rPr>
        <w:t xml:space="preserve">Quelle: </w:t>
      </w:r>
      <w:r>
        <w:t>https://mcp.opencaselaw.ch/entscheid/ti_gerichte_16.2009.120</w:t>
      </w:r>
    </w:p>
    <w:p>
      <w:r>
        <w:t>FR: TI_GERICHTE 16.2009.120 du 21 décembre 2009</w:t>
      </w:r>
    </w:p>
    <w:p>
      <w:r>
        <w:t>IT: TI_GERICHTE 16.2009.120 del 21 dicembre 2009</w:t>
      </w:r>
    </w:p>
    <w:p>
      <w:pPr>
        <w:pStyle w:val="Heading2"/>
      </w:pPr>
      <w:r>
        <w:t>Regeste</w:t>
      </w:r>
    </w:p>
    <w:p>
      <w:r>
        <w:t>Rigetto definitivo - decisione di altro cantone - eccezioni da proporre al contraddittorio - utilizzo lingua italiana - lingue nazionali</w:t>
      </w:r>
    </w:p>
    <w:p>
      <w:pPr>
        <w:pStyle w:val="Heading2"/>
      </w:pPr>
      <w:r>
        <w:t>Erwägungen</w:t>
      </w:r>
    </w:p>
    <w:p>
      <w:r>
        <w:rPr>
          <w:b/>
        </w:rPr>
        <w:t>E. 3</w:t>
      </w:r>
    </w:p>
    <w:p>
      <w:r>
        <w:t>CPC; Cocchi/ Trezzini, op. cit., n. 5 ad art. 117); che giusta l'art. 313 bis CPC, applicabile anche alla procedura di ricorso per cassazione in virtù del rinvio di cui all'art. 313 cpv. 1 CPC, questa Camera può decidere con breve motivazione la reiezione dello stesso senza notifica alla controparte per le osservazioni, qualora questo si riveli inammissibile o manifestamente infondato; che gli oneri del giudizio odierno seguirebbero la soccombenza (art. 148 cpv. 1 CPC), ma per questa volta si può rinunciare – in via eccezionale – a ogni prelievo (art. 148 cpv. 2 CPC), la ricorrente essendo sprovvista di cognizioni giuridiche e avendo agito senza l'ausilio di un patrocinatore; che non si pone invece problema di ripetibili, il ricorso non avendo formato oggetto di intimazione.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