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16.2008.19 vom 7. Oktober 2008</w:t>
      </w:r>
    </w:p>
    <w:p>
      <w:r>
        <w:t>TI Tribunale d'appello, 2008-10-07, IT</w:t>
      </w:r>
    </w:p>
    <w:p>
      <w:r>
        <w:rPr>
          <w:b/>
        </w:rPr>
        <w:t xml:space="preserve">Quelle: </w:t>
      </w:r>
      <w:r>
        <w:t>https://mcp.opencaselaw.ch/entscheid/ti_gerichte_16.2008.19</w:t>
      </w:r>
    </w:p>
    <w:p>
      <w:r>
        <w:t>FR: TI_GERICHTE 16.2008.19 du 7 octobre 2008</w:t>
      </w:r>
    </w:p>
    <w:p>
      <w:r>
        <w:t>IT: TI_GERICHTE 16.2008.19 del 7 ottobre 2008</w:t>
      </w:r>
    </w:p>
    <w:p>
      <w:pPr>
        <w:pStyle w:val="Heading2"/>
      </w:pPr>
      <w:r>
        <w:t>Regeste</w:t>
      </w:r>
    </w:p>
    <w:p>
      <w:r>
        <w:t>Azione di rettifica RF - giurisdizione civile - accertamento d'ufficio - modalità - parte che non si oppone al ricorso non è soccombente</w:t>
      </w:r>
    </w:p>
    <w:p>
      <w:pPr>
        <w:pStyle w:val="Heading2"/>
      </w:pPr>
      <w:r>
        <w:t>Erwägungen</w:t>
      </w:r>
    </w:p>
    <w:p>
      <w:r>
        <w:rPr>
          <w:b/>
        </w:rPr>
        <w:t>E. 5</w:t>
      </w:r>
    </w:p>
    <w:p>
      <w:r>
        <w:t>ad art. 1); che in concreto, i ricorrenti hanno promosso un'“azione di rettifica del registro ai sensi dell'art. 975 CC”, qualificata espressamente come tale (cfr. frontespizio della petizione) ed esplicitamente fondata sull'art. 975 CC; che tale azione è destinata a far modificare iscrizioni, annotazioni o cancellazioni che nel registro fondiario sono inesatte o indebite sin dall'inizio ( Honsell/Vogt/Wiegand , Basler Kommentar, ZGB II, 3 ª edizione, n. 2 ad art. 975 CC; DTF 133 III 641) , essendo state eseguite senza causa legittima (vizio nel titolo di acquisto o nella facoltà di disporre); che proprio perché destinata a far accertare l'esistenza o meno di un diritto, l'azione basata sull'art. 975 CC è un'azione civile di accertamento e non un'azione di natura amministrativa ( Honsell/Vogt/ Wiegand, op. cit., n. 6 ad art. 975 CC); che di conseguenza, la vertenza promossa dagli istanti rientra senz'altro nelle competenze giurisdizionali del giudice civile; che pertanto gli atti vanno ritornati al primo giudice affinché questi, previa verifica della propria competenza per valore, agli atti non figurando nessuna indicazione in tal senso, istruisca la causa convocando le parti per la discussione; che gli oneri processuali seguirebbero la soccombenza (art. 148 cpv. 1 CPC); che CO 1, non essendosi opposto al ricorso, non può essere considerato “soccombente” e non deve sopportare costi, né corrispondere ripetibili (Rep. 1997 pag. 137 consid. 4); che lo Stato del Cantone Ticino non è parte in causa (sulla nozione di “parte”: Poudret , Commentaire de la loi fédérale d'organisation judiciaire, vol. V, nota 2 ad art. 156 e nota 1 ad art. 159); che, in circostanze del genere si giustifica rinunciare al prelievo di oneri processuali e, non essendovi alcun “ soccombente ” , all'attribuzione di ripetibili. Per questi motivi, pronuncia: 1. Il ricorso per cassazione è accolto, nel senso che il decreto di stralcio è annullato e gli atti sono rinviati al primo giudice affinché proceda nel senso dei considerandi. 2. Non si riscuotono tasse o spese, né si assegnano ripetibili. 3. Intimazione a: Comunicazione alla Giudicatura di pace del circolo della Riviera.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