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16.2007.99 vom 18. Januar 2008</w:t>
      </w:r>
    </w:p>
    <w:p>
      <w:r>
        <w:t>TI Tribunale d'appello, 2008-01-18, IT</w:t>
      </w:r>
    </w:p>
    <w:p>
      <w:r>
        <w:rPr>
          <w:b/>
        </w:rPr>
        <w:t xml:space="preserve">Quelle: </w:t>
      </w:r>
      <w:r>
        <w:t>https://mcp.opencaselaw.ch/entscheid/ti_gerichte_16.2007.99</w:t>
      </w:r>
    </w:p>
    <w:p>
      <w:r>
        <w:t>FR: TI_GERICHTE 16.2007.99 du 18 janvier 2008</w:t>
      </w:r>
    </w:p>
    <w:p>
      <w:r>
        <w:t>IT: TI_GERICHTE 16.2007.99 del 18 gennaio 2008</w:t>
      </w:r>
    </w:p>
    <w:p>
      <w:pPr>
        <w:pStyle w:val="Heading2"/>
      </w:pPr>
      <w:r>
        <w:t>Regeste</w:t>
      </w:r>
    </w:p>
    <w:p>
      <w:r>
        <w:t>Azione di risarcimento danni - danno totale - valore di una perizia di parte - ricevibilità del ricorso per cassazione</w:t>
      </w:r>
    </w:p>
    <w:p>
      <w:pPr>
        <w:pStyle w:val="Heading2"/>
      </w:pPr>
      <w:r>
        <w:t>Erwägungen</w:t>
      </w:r>
    </w:p>
    <w:p>
      <w:r>
        <w:rPr>
          <w:b/>
        </w:rPr>
        <w:t>E. 1</w:t>
      </w:r>
    </w:p>
    <w:p>
      <w:r>
        <w:t>Per quanto riguarda l'ammissibilità del ricorso va rilevato che per costante giurisprudenza di questa Camera, anche se carente dell'indicazione del motivo di cassazione invocato così come previsto dall'art. 329 cpv. 2 lett. e CPC, il ricorso è comunque ricevibile se dalla sua motivazione risultano le ragioni a fondamento del medesimo, di modo che il giudice possa individuare con facilità sia il motivo di cassazione addotto che la norma legale ritenuta violata ( Cocchi/Trezzini , CPC ticinese massimato e commentato, Lugano 2000, n. 2 ad art. 329). In concreto il ricorrente pone l'arbitraria valutazione delle prove documentali da parte del primo giudice al quale rimprovera di non aver considerato, ai fini della quantificazione del danno dallo stesso subito, la prima valutazione effettuata dall'esperto incaricato dalla convenuta e confermata dalla __________ SA,ovvero invoca il titolo di cassazione di cui all'art. 327 lett. g CPC. Tempestivo, il ricorso è pertanto ricevibile.</w:t>
      </w:r>
    </w:p>
    <w:p>
      <w:r>
        <w:rPr>
          <w:b/>
        </w:rPr>
        <w:t>E. 2</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132 III 211 consid. 2.1).</w:t>
      </w:r>
    </w:p>
    <w:p>
      <w:r>
        <w:rPr>
          <w:b/>
        </w:rPr>
        <w:t>E. 3</w:t>
      </w:r>
    </w:p>
    <w:p>
      <w:r>
        <w:t>Il ricorrente si duole essenzialmente del fatto che il Giudice di pace supplente ha quantificato il danno da lui subìto in soli fr. 2700.– senza considerare la prima valutazione effettuata dal perito incaricato dalla convenuta e confermata dalla ditta __________ SA, secondo cui il valore venale del veicolo ammontava a fr. 4400.–. Al riguardo il primo giudice si è basato sulla valutazione del danno effettuata nel mese di dicembre 2006 dalla ditta __________ AG di __________ che lo ha quantificato in fr. 2700.–, corrispondente poi all'importo che la compagnia di assicurazione si era dichiarata disposta a riconoscere all'istante. Ora, tenuto conto che gli estremi del rimedio di cassazione di cui all'art. 327 lett. g CPC sono dati unicamente contro la sentenza che contiene una valutazione delle prove insostenibile e sconfessata dalle stesse risultanze istruttorie (C occhi/ Trezzini, CPC annotato e massimato, Lugano 2000, n. 92 ad art. 90 CPC) , una decisione non è arbitraria se trova riscontro anche solo in determinate prove. In concreto, quindi, il fatto per il primo giudice di aver dato maggior credito alla seconda valutazione del danno effettuata dalla ditta __________ AG nel mese di dicembre 2006 piuttosto che a quella eseguita dalla stessa ditta nel mese di agosto 2006 non appare criticabile tanto più che la stessa ha giustificato plausibilmente il cambiamento di valutazione (cfr. scritto 22 dicembre 2006 della CO 1). Per di più in caso di danno totale, come sembra essere il caso nella fattispecie, il danno corrisponde al valore sostitutivo del veicolo ( Werro , La responsabilité civile, Berna 2005, pag. 247 n. 972). E siccome la convenuta ha proposto all'istante un veicolo sostitutivo del valore di fr. 2700.–, la conclusione del primo giudice, che ha quantificato in tale misura il danno patito dall'istante, non appare insostenibile. Nulla muta il fatto che anche per __________ SA il valore del veicolo ammontasse a fr. 4400.–. Ora, per tacere che tale stima è stata contestata dalla convenuta a dipendenza dalla presa in considerazione dei costi di manutenzione del veicolo (cfr. scritto 16 febbraio 2007), quanto indicato da quella società non assurge a perizia giudiziaria ma a una valutazione di parte. Essa va pertanto considerata alla stregua di un'allegazione della parte medesima, con medesimo valore probatorio (C occhi/ Trezzini, op. cit., m. 21 e 23 ad art. 90 CPC).</w:t>
      </w:r>
    </w:p>
    <w:p>
      <w:r>
        <w:rPr>
          <w:b/>
        </w:rPr>
        <w:t>E. 4</w:t>
      </w:r>
    </w:p>
    <w:p>
      <w:r>
        <w:t>Dato quanto precede il ricorso, che non ha evidenziato nessun titolo di cassazione, tantomeno un'arbitraria valutazione delle prove da parte del primo giudice, deve essere respinto. Gli oneri processuali seguono la soccombenza (art. 148 cpv. 1 CPC). Il ricorrente rifonderà alla controparte, che ha formulato osservazioni per il tramite di un patrocinatore, un'adeguata indennità per ripetibili Per questi motivi, vista sulle spese anche la tariffa giudiziaria pronuncia: 1. Il ricorso per cassazione 31 ottobre 2007 di RI 1 è respinto. 2. Gli oneri del presente giudizio, consistenti in: a) tassa di giustizia      fr. 120.– b) spese                         fr.   30.– fr. 150.– già anticipati dal ricorrente, rimangono a suo carico con l'obbligo di rifondere alla controparte fr. 400.– per ripetibili. 3. Intimazione a: ; . Comunicazione alla Giudicatura di pace del circolo di __________. terzi implicati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