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16.2007.31 vom 23. Mai 2007</w:t>
      </w:r>
    </w:p>
    <w:p>
      <w:r>
        <w:t>TI Tribunale d'appello, 2007-05-23, IT</w:t>
      </w:r>
    </w:p>
    <w:p>
      <w:r>
        <w:rPr>
          <w:b/>
        </w:rPr>
        <w:t xml:space="preserve">Quelle: </w:t>
      </w:r>
      <w:r>
        <w:t>https://mcp.opencaselaw.ch/entscheid/ti_gerichte_16.2007.31</w:t>
      </w:r>
    </w:p>
    <w:p>
      <w:r>
        <w:t>FR: TI_GERICHTE 16.2007.31 du 23 mai 2007</w:t>
      </w:r>
    </w:p>
    <w:p>
      <w:r>
        <w:t>IT: TI_GERICHTE 16.2007.31 del 23 maggio 2007</w:t>
      </w:r>
    </w:p>
    <w:p>
      <w:pPr>
        <w:pStyle w:val="Heading2"/>
      </w:pPr>
      <w:r>
        <w:t>Regeste</w:t>
      </w:r>
    </w:p>
    <w:p>
      <w:r>
        <w:t>rigetto definitivo per imposte - ritiro esecuzione da parte del creditore - stralcio del ricorso - parte soccombente</w:t>
      </w:r>
    </w:p>
    <w:p>
      <w:pPr>
        <w:pStyle w:val="Heading2"/>
      </w:pPr>
      <w:r>
        <w:t>Volltext</w:t>
      </w:r>
    </w:p>
    <w:p>
      <w:r>
        <w:t>Ticino Tribunale di appello diritto civile La Camera di cassazione civile 23.05.2007 16.2007.31</w:t>
      </w:r>
    </w:p>
    <w:p>
      <w:r>
        <w:t>rigetto definitivo per imposte - ritiro esecuzione da parte del creditore - stralcio del ricorso - parte soccombente</w:t>
      </w:r>
    </w:p>
    <w:p>
      <w:r>
        <w:t>Incarto n. 16.2007.31 Lugano 23 maggio 2007 /fb In nome della Repubblica e Cantone Ticino La Camera di cassazione civile del Tribunale d'appello composta dei giudici: Giani, presidente, Epiney-Colombo e Lardelli segretaria: Petralli Zeni, vicecancelliera sedente per statuire sul ricorso per cassazione 15 aprile 2007 presentato da RI 1 contro la sentenza emessa il 26 marzo 2007 dal Giudice di pace del circolo di Carona nella procedura sommaria di rigetto dell'opposizione (inc. n. S05-225) promossa con istanza 24 agosto 2005 dallo CO 1 (rappresentato RA 1 ; esaminati gli atti considerato in fatto e in diritto: che con istanza 24 agosto 2005 lo CO 1 ha chiesto il rigetto in via definitiva dell'opposizione interposta da RI 1 al PE n. __________ dell'UE di Lugano notificatole per l'incasso di fr. 1692.75 oltre accessori, rivendicati a saldo delle imposte cantonali 1995/96/97/98/99/2000 e agli interessi di ritardo, dovute sulla base delle decisioni di riparto dell'imposta tra coniugi; che all'udienza del 22 settembre 2005 la convenuta ha concluso per il rigetto dell'istanza; che con sentenza 26  marzo 2007 il Giudice di pace, accertata la presenza di un valido titolo esecutivo nella documentazione prodotta dall'istante, ha accolto l'istanza; che con ricorso per cassazione del 15 aprile 2007 RI 1 è insorta contro la predetta sentenza postulandone l'annullamento; che il 21 maggio 2007 lo CO 1 ha comunicato a questa Camera di aver ritirato l'esecuzione in oggetto, donde la decadenza del ricorso; che decadendo l'esecuzione, sia l'istanza di rigetto dell'opposizione che il ricorso proposto dalla convenuta diventano privi d'oggetto; che, di regola, chi rende la procedura priva d'oggetto risulta soccombente ai fini del giudizio su spese e indennità (DTF 113 III 110 consid. 3a), salvo nell'evenienza in cui le parti ne concordino un diverso riparto e ne diano comunicazione, ciò che non è il caso in concreto. Per questi motivi, vista sulle spese anche la OTLEF decreta: I. Il ricorso per cassazione 15 aprile 2007 di RI 1 è divenuto privo d'oggetto ed è stralciato dai ruoli. II. La sentenza 26 marzo 2007 del Giudice di pace del circolo di Carona è annullata e modificata come segue: 1. L'istanza è dichiarata priva d'oggetto. 2. Invariato 3. La tassa di giustizia di fr. 150.– è posta a carico dell'istante che rifonderà alla convenuta fr. 80.– di indennità. III. Gli oneri processuali, per complessivi fr. 100.–, già anticipati dalla ricorrente, sono posti a carico dello CO 1, che rifonderà alla controparte fr. 80.– a titolo di indennità. IV. Intimazione a: -    ; - Comunicazione alla Giudicatura di pace del circolo di Carona. terzi implicati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