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16.2006.93 vom 4. Dezember 2006</w:t>
      </w:r>
    </w:p>
    <w:p>
      <w:r>
        <w:t>TI Tribunale d'appello, 2006-12-04, IT</w:t>
      </w:r>
    </w:p>
    <w:p>
      <w:r>
        <w:rPr>
          <w:b/>
        </w:rPr>
        <w:t xml:space="preserve">Quelle: </w:t>
      </w:r>
      <w:r>
        <w:t>https://mcp.opencaselaw.ch/entscheid/ti_gerichte_16.2006.93</w:t>
      </w:r>
    </w:p>
    <w:p>
      <w:r>
        <w:t>FR: TI_GERICHTE 16.2006.93 du 4 décembre 2006</w:t>
      </w:r>
    </w:p>
    <w:p>
      <w:r>
        <w:t>IT: TI_GERICHTE 16.2006.93 del 4 dicembre 2006</w:t>
      </w:r>
    </w:p>
    <w:p>
      <w:pPr>
        <w:pStyle w:val="Heading2"/>
      </w:pPr>
      <w:r>
        <w:t>Regeste</w:t>
      </w:r>
    </w:p>
    <w:p>
      <w:r>
        <w:t>rigetto - accoglimento dell'istanza nonostante l'assenza di un riconoscimento di debito - ricorso - adesione al ricorso - acquiescenza - ripartizione spese - stralcio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respinta.</w:t>
      </w:r>
    </w:p>
    <w:p>
      <w:r>
        <w:rPr>
          <w:b/>
        </w:rPr>
        <w:t>E. 2</w:t>
      </w:r>
    </w:p>
    <w:p>
      <w:r>
        <w:t>La tassa di giustizia di fr. 100.–, da anticipare dalla parte istante, rimane a suo carico. III. Non si prelevano tasse o spese. Il CO 1 rifonderà al ricorrente fr. 250.– per ripetibili. IV. Intimazione a: -; -. Comunicazione alla Giudicatura di pace del circolo del Ticino. terzi implicati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