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16.2006.75 vom 4. August 2006</w:t>
      </w:r>
    </w:p>
    <w:p>
      <w:r>
        <w:t>TI Tribunale d'appello, 2006-08-04, IT</w:t>
      </w:r>
    </w:p>
    <w:p>
      <w:r>
        <w:rPr>
          <w:b/>
        </w:rPr>
        <w:t xml:space="preserve">Quelle: </w:t>
      </w:r>
      <w:r>
        <w:t>https://mcp.opencaselaw.ch/entscheid/ti_gerichte_16.2006.75</w:t>
      </w:r>
    </w:p>
    <w:p>
      <w:r>
        <w:t>FR: TI_GERICHTE 16.2006.75 du 4 août 2006</w:t>
      </w:r>
    </w:p>
    <w:p>
      <w:r>
        <w:t>IT: TI_GERICHTE 16.2006.75 del 4 agosto 2006</w:t>
      </w:r>
    </w:p>
    <w:p>
      <w:pPr>
        <w:pStyle w:val="Heading2"/>
      </w:pPr>
      <w:r>
        <w:t>Regeste</w:t>
      </w:r>
    </w:p>
    <w:p>
      <w:r>
        <w:t>rigetto definitivo - bolletta per tasse RC quale titolo esecutivo - rinvio dell'udienza chiesto all'udienza stessa - rinvio negato - domanda di AG negata a dipendenza dell'esito negativo del ricorso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per cassazione 19 giugno 2006 dell'avv. RI 1 è respinto.</w:t>
      </w:r>
    </w:p>
    <w:p>
      <w:r>
        <w:rPr>
          <w:b/>
        </w:rPr>
        <w:t>E. 2</w:t>
      </w:r>
    </w:p>
    <w:p>
      <w:r>
        <w:t>Tasse e spese del presente giudizio, per complessivi fr. 50.-, sono poste a carico del ricorrente. Non si assegnano ripetibili.</w:t>
      </w:r>
    </w:p>
    <w:p>
      <w:r>
        <w:rPr>
          <w:b/>
        </w:rPr>
        <w:t>E. 3</w:t>
      </w:r>
    </w:p>
    <w:p>
      <w:r>
        <w:t>Intimazione: - ; - . Comunicazione alla Giudicatura di pace del circolo di Lugano. terzi implicati Per la Camera di cassazione civile del Tribunale d'appello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