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16.2006.52 vom 31. Mai 2006</w:t>
      </w:r>
    </w:p>
    <w:p>
      <w:r>
        <w:t>TI Tribunale d'appello, 2006-05-31, IT</w:t>
      </w:r>
    </w:p>
    <w:p>
      <w:r>
        <w:rPr>
          <w:b/>
        </w:rPr>
        <w:t xml:space="preserve">Quelle: </w:t>
      </w:r>
      <w:r>
        <w:t>https://mcp.opencaselaw.ch/entscheid/ti_gerichte_16.2006.52</w:t>
      </w:r>
    </w:p>
    <w:p>
      <w:r>
        <w:t>FR: TI_GERICHTE 16.2006.52 du 31 mai 2006</w:t>
      </w:r>
    </w:p>
    <w:p>
      <w:r>
        <w:t>IT: TI_GERICHTE 16.2006.52 del 31 maggio 2006</w:t>
      </w:r>
    </w:p>
    <w:p>
      <w:pPr>
        <w:pStyle w:val="Heading2"/>
      </w:pPr>
      <w:r>
        <w:t>Regeste</w:t>
      </w:r>
    </w:p>
    <w:p>
      <w:r>
        <w:t>azione di accertamento inesistenza debito - presupposti - interesse legittimo - non dato se il debitore ha pagato il suo debito - consultazione atti dell'ufficio esecuzioni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per cassazione 5 maggio 2006 RI 1 è respinto.</w:t>
      </w:r>
    </w:p>
    <w:p>
      <w:r>
        <w:rPr>
          <w:b/>
        </w:rPr>
        <w:t>E. 2</w:t>
      </w:r>
    </w:p>
    <w:p>
      <w:r>
        <w:t>Tasse e spese del presente giudizio, per complessivi fr. 100.-, sono poste a carico della ricorrente. Non si assegnano ripetibili.</w:t>
      </w:r>
    </w:p>
    <w:p>
      <w:r>
        <w:rPr>
          <w:b/>
        </w:rPr>
        <w:t>E. 3</w:t>
      </w:r>
    </w:p>
    <w:p>
      <w:r>
        <w:t>Intimazione: -    ; -  . Comunicazione alla Giudicatura di pace del circolo di Lugano. terzi implicati Per la Camera di cassazione civile del Tribunale d'appello 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