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16.2006.37 vom 13. Juli 2006</w:t>
      </w:r>
    </w:p>
    <w:p>
      <w:r>
        <w:t>TI Tribunale d'appello, 2006-07-13, IT</w:t>
      </w:r>
    </w:p>
    <w:p>
      <w:r>
        <w:rPr>
          <w:b/>
        </w:rPr>
        <w:t xml:space="preserve">Quelle: </w:t>
      </w:r>
      <w:r>
        <w:t>https://mcp.opencaselaw.ch/entscheid/ti_gerichte_16.2006.37</w:t>
      </w:r>
    </w:p>
    <w:p>
      <w:r>
        <w:t>FR: TI_GERICHTE 16.2006.37 du 13 juillet 2006</w:t>
      </w:r>
    </w:p>
    <w:p>
      <w:r>
        <w:t>IT: TI_GERICHTE 16.2006.37 del 13 luglio 2006</w:t>
      </w:r>
    </w:p>
    <w:p>
      <w:pPr>
        <w:pStyle w:val="Heading2"/>
      </w:pPr>
      <w:r>
        <w:t>Regeste</w:t>
      </w:r>
    </w:p>
    <w:p>
      <w:r>
        <w:t>rigetto provvisorio - tempestività del ricorso - redazione in lingua tedesca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13.07.2006 16.2006.37</w:t>
      </w:r>
    </w:p>
    <w:p>
      <w:r>
        <w:t>rigetto provvisorio - tempestività del ricorso - redazione in lingua tedesca</w:t>
      </w:r>
    </w:p>
    <w:p>
      <w:r>
        <w:t>Incarto n. 16.2006.37 Lugano 13 luglio 2006 /lw In nome della Repubblica e Cantone Ticino La Camera di cassazione civile del Tribunale d'appello composta dei giudici: Epiney-Colombo, presidente, Cocchi e Giani segretaria: Petralli Zeni, vicecancelliera sedente per giudicare il ricorso per cassazione 21 marzo 2006 presentato da RI 1 contro la sentenza 1° marzo 2006 del Giudice di pace del circolo della Navegna nella causa a procedura sommaria in materia di rigetto dell'opposizione (inc. n. 34–2006) promossa con istanza 13 febbraio 2006 da CO 1 con la quale l'istante ha chiesto il rigetto in via provvisoria dell'opposizione interposta dal convenuto al PE n. __________ dell'UEF di Locarno, domanda accolta dal giudice, letti ed esaminati gli atti considerato in fatto e in diritto: che con istanza 13 febbraio 2006 CO 1 ha chiesto il rigetto in via provvisoria dell'opposizione interposta da RI 1 al PE n.__________ dell'UEF di Locarno, notificatogli per l'incasso di fr. 1'320.- oltre spese e interessi, reclamati a titolo di canoni scaduti dovuti sulla base del contratto di abbonamento al servizio internet ADSL sottoscritto dalle parti il 4 settembre 2005, oltre a fr. 120.– a titolo di spese amministrative; che con sentenza 1° marzo 2006 il Giudice di pace, accertata la presenza di un valido riconoscimento di debito nella documentazione prodotta dall'istante e alla quale il convenuto, assente dal contraddittorio, non ha opposto nessuna valida eccezione, ha accolto l'istanza; che con scritto 21 marzo 2006 RI 1 è insorto contro il predetto giudizio; che giusta l'art. 22 cpv. 1 LALEF il termine per ricorrere in cassazione contro una sentenza emanata nell'ambito di un'azione di rigetto dell'opposizione è di 10 giorni, e non 20 come erroneamente indicato dal ricorrente; che questo termine decorre dal giorno successivo a quello dell'intimazione della decisione, in concreto avvenuta il 3 marzo 2006 come si evince dalla ricerca postale effettuata mediante il servizio Track &amp; Trace; che, pertanto il ricorso, a prescindere dalla sua redazione in lingua tedesca e quindi in contrasto con quanto dispone l'art. 117 CPC, è tardivo essendo stato inoltrato il 23 marzo 2006 (data del timbro postale); che alla fattispecie può essere applicato l'art. 313 bis CPC, conforme anche alla procedura di ricorso per cassazione per il rinvio di cui all'art. 331 cpv. 1 CPC, in virtù del quale questa Camera può decidere con breve motivazione senza notifica alla controparte per le osservazioni qualora il ricorso si rilevi inammissibile o manifestamente infondato; che le spese seguono la soccombenza (art. 148 cpv. 1 CPC), mentre non si giustifica di assegnare ripetibili alla controparte alla quale il ricorso non è nemmeno stato notificato. Per i quali motivi, richiamati gli art. 327 segg. CPC, per le spese l'art. 148 cpv. 1 CPC e la OTLEF pronuncia: 1. Il ricorso per cassazione 21 marzo 2006 di RI 1 è irricevibile in quanto tardivo . 2. Tasse e spese del presente giudizio, per complessivi fr. 70.-, sono poste a carico del ricorrente. Non si assegnano ripetibili. 3. Intimazione: -; -. Comunicazione alla Giudicatura di pace del circolo della Navegna. terzi implicati Per la Camera di cassazione civile del Tribunale d'appello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