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16.2006.34 vom 15. Dezember 2006</w:t>
      </w:r>
    </w:p>
    <w:p>
      <w:r>
        <w:t>TI Tribunale d'appello, 2006-12-15, IT</w:t>
      </w:r>
    </w:p>
    <w:p>
      <w:r>
        <w:rPr>
          <w:b/>
        </w:rPr>
        <w:t xml:space="preserve">Quelle: </w:t>
      </w:r>
      <w:r>
        <w:t>https://mcp.opencaselaw.ch/entscheid/ti_gerichte_16.2006.34</w:t>
      </w:r>
    </w:p>
    <w:p>
      <w:r>
        <w:t>FR: TI_GERICHTE 16.2006.34 du 15 décembre 2006</w:t>
      </w:r>
    </w:p>
    <w:p>
      <w:r>
        <w:t>IT: TI_GERICHTE 16.2006.34 del 15 dicembre 2006</w:t>
      </w:r>
    </w:p>
    <w:p>
      <w:pPr>
        <w:pStyle w:val="Heading2"/>
      </w:pPr>
      <w:r>
        <w:t>Regeste</w:t>
      </w:r>
    </w:p>
    <w:p>
      <w:r>
        <w:t>contratto di lavoro - commessa alla quale vengono addebitati ammanchi di cassa - responsabilità del lavoratore - presupposti - onere della prova - massima inquisitoria a carattere sociale - doveri delle parti</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 17 consid. 5.1).</w:t>
      </w:r>
    </w:p>
    <w:p>
      <w:r>
        <w:rPr>
          <w:b/>
        </w:rPr>
        <w:t>E. 2</w:t>
      </w:r>
    </w:p>
    <w:p>
      <w:r>
        <w:t>Il Segretario assessore ha ritenuto che la responsabilità per gli ammanchi di cassa non era stata accertata. E siccome incombeva al datore di lavoro dimostrare tale circostanza, la trattenuta effettuata dalla stessa non era giustificata. La ricorrente rimprovera al primo giudice di non aver ritenuto provati gli ammanchi di cassa commessi dall'istante nonostante questa non abbia mai protestato per le relative deduzioni effettuate sui conteggi di salario dalla stessa sottoscritti.</w:t>
      </w:r>
    </w:p>
    <w:p>
      <w:r>
        <w:rPr>
          <w:b/>
        </w:rPr>
        <w:t>E. 3</w:t>
      </w:r>
    </w:p>
    <w:p>
      <w:r>
        <w:t>Nella fattispecie è vero che il primo giudice non si è espresso sulla responsabilità della lavoratrice per gli ammanchi di cassa lamentati dalla datrice di lavoro tuttavia la sua conclusione, secondo la quale non sarebbe stato provato nessun addebito a carico dell'istante, non può essere considerata errata né tantomeno arbitraria. La convenuta, alla quale incombeva l'onere della prova ( Favre/Munoz/Tobler , Le contrat de travail, Code annoté, Losanna 2001, n. 1.13 ad art. 321 e CO; Brühwiler , Kommentar zum Einzelarbeitsvertrag, 2 ª ed., Berna 1996, n. III ad art. 321e CO; Wyler , Droit du travail, Berna 2002, pag. 101) , non ha dimostrato né tanto meno allegato una qualsiasi violazione dei doveri a carico della lavoratrice, alla quale non ha mosso nessun rimprovero in merito all'attività svolta. Certo, nelle controversie derivanti da contratto di lavoro vige la massima inquisitoria a carattere sociale, che impone al giudice l'accertamento d'ufficio dei fatti e il libero apprezzamento delle prove (art. 343 cpv. 4 CO), ciò non di meno essa non dispensa le parti, tanto meno ove siano patrocinate da un legale, dal presentare tutti gli elementi di prova utili alla valutazione del caso né impone al giudice di istruire la causa d'ufficio assumendo ogni e qualsiasi mezzo di prova ( Cocchi/ Trezzini, CPC massimato e commentato, Lugano 2000, m. 1, 2 e 4 ad art. 417) . In concreto, quindi, la ricorrente non può sanare le sue carenze probatorie addebitando al primo giudice l'errata conduzione del processo o all'istante un agire contrario alle regole della buona fede per il fatto di aver contestato in causa la sua responsabilità, anche perché dalla sottoscrizione senza riserve dei conteggi di salario, che indicavano gli ammanchi controversi, non può essere dedotto il riconoscimento di una qualsiasi responsabilità. Tanto meno se si pensa che la lavoratrice ha prontamente negato di aver commesso errori nella gestione della cassa, gli ammanchi potendo essere attribuiti a prelievi per il pagamento di fornitori o al mancato pagamento della fornitura di benzina da parte del titolare o di altri clienti (cfr. deposizione di __________ del 3 giugno 2005, pag. 3). Ciò posto il ricorso, che non ha evidenziato il titolo di cassazione invocato, deve essere respinto.</w:t>
      </w:r>
    </w:p>
    <w:p>
      <w:r>
        <w:rPr>
          <w:b/>
        </w:rPr>
        <w:t>E. 4</w:t>
      </w:r>
    </w:p>
    <w:p>
      <w:r>
        <w:t>L'art. 417 cpv. 1 lett. e CPC prevede la gratuità della procedura nelle azioni derivanti da contratto di lavoro. Non si prelevano quindi tasse né spese. Il ricorrente rifonderà alla controparte, assistita da un legale, un'equa indennità per ripetibili. Per questi motivi, pronuncia: 1. Il ricorso per cassazione 23 marzo 2006 di RI 1 è respinto. 2. Il presente giudizio è esente da tasse e spese. La ricorrente verserà alla controparte CO 1 300.- per ripetibili. 3. Intimazione a: -     ; -     . Comunicazione alla Pretura della giurisdizione di Mendrisio Nord. terzi implicati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