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16.2006.129 vom 9. Januar 2007</w:t>
      </w:r>
    </w:p>
    <w:p>
      <w:r>
        <w:t>TI Tribunale d'appello, 2007-01-09, IT</w:t>
      </w:r>
    </w:p>
    <w:p>
      <w:r>
        <w:rPr>
          <w:b/>
        </w:rPr>
        <w:t xml:space="preserve">Quelle: </w:t>
      </w:r>
      <w:r>
        <w:t>https://mcp.opencaselaw.ch/entscheid/ti_gerichte_16.2006.129</w:t>
      </w:r>
    </w:p>
    <w:p>
      <w:r>
        <w:t>FR: TI_GERICHTE 16.2006.129 du 9 janvier 2007</w:t>
      </w:r>
    </w:p>
    <w:p>
      <w:r>
        <w:t>IT: TI_GERICHTE 16.2006.129 del 9 gennaio 2007</w:t>
      </w:r>
    </w:p>
    <w:p>
      <w:pPr>
        <w:pStyle w:val="Heading2"/>
      </w:pPr>
      <w:r>
        <w:t>Regeste</w:t>
      </w:r>
    </w:p>
    <w:p>
      <w:r>
        <w:t>rigetto dell'opposizione per incasso pretese salariali - termine per ricorrere - ricorso tardivo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 irricevibile. 2.   Non si riscuotono tasse o spese né si assegnano ripetibili.</w:t>
      </w:r>
    </w:p>
    <w:p>
      <w:r>
        <w:rPr>
          <w:b/>
        </w:rPr>
        <w:t>E. 3</w:t>
      </w:r>
    </w:p>
    <w:p>
      <w:r>
        <w:t>Intimazione a: - -  . Comunicazione alla Pretura della giurisdizione di Locarno Campagna. terzi implicati Per la Camera di cassazione civile del Tribunale d'appello Il presidente                                                           La segretaria Rimedi giuridici Nelle cause di carattere pecuniario è ammissibile, entro trenta giorni dalla notificazione, il ricorso in materia civile al Tribunale federale, 1000 Losanna 14, per i motivi previsti dagli art. 95 a 98 LTF (art. 72 LTF) solo se il valore litigioso ammonta ad almeno a 30 000 franchi; quando il valore litigioso non raggiunge tale importo, il ricorso in materia civile è ammissibile se la controversia concerne una questione di diritto di importanza fondamen­tale (art. 74 e 100 cpv. 1 LTF). La legittimazione a ricorrere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