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16.2006.118 vom 17. Dezember 2007</w:t>
      </w:r>
    </w:p>
    <w:p>
      <w:r>
        <w:t>TI Tribunale d'appello, 2007-12-17, IT</w:t>
      </w:r>
    </w:p>
    <w:p>
      <w:r>
        <w:rPr>
          <w:b/>
        </w:rPr>
        <w:t xml:space="preserve">Quelle: </w:t>
      </w:r>
      <w:r>
        <w:t>https://mcp.opencaselaw.ch/entscheid/ti_gerichte_16.2006.118</w:t>
      </w:r>
    </w:p>
    <w:p>
      <w:r>
        <w:t>FR: TI_GERICHTE 16.2006.118 du 17 décembre 2007</w:t>
      </w:r>
    </w:p>
    <w:p>
      <w:r>
        <w:t>IT: TI_GERICHTE 16.2006.118 del 17 dicembre 2007</w:t>
      </w:r>
    </w:p>
    <w:p>
      <w:pPr>
        <w:pStyle w:val="Heading2"/>
      </w:pPr>
      <w:r>
        <w:t>Regeste</w:t>
      </w:r>
    </w:p>
    <w:p>
      <w:r>
        <w:t>Azione di accertamento dell'inesistenza del debito - procedura applicabile - capacità processuale della parte - diffida a munirsi di un patrocinatore - presupposti - assenza firma pretore sulla sentenza - formalismo eccessivo</w:t>
      </w:r>
    </w:p>
    <w:p>
      <w:pPr>
        <w:pStyle w:val="Heading2"/>
      </w:pPr>
      <w:r>
        <w:t>Erwägungen</w:t>
      </w:r>
    </w:p>
    <w:p>
      <w:r>
        <w:rPr>
          <w:b/>
        </w:rPr>
        <w:t>E. 1</w:t>
      </w:r>
    </w:p>
    <w:p>
      <w:r>
        <w:t>Nella fattispecie la sentenza dedotta in cassazione difetta della firma del Pretore. Ora l'art. 285 cpv. 2 lett. g CPC (applicabile in base al rinvio dell'art. 299 CPC) prevede la nullità delle sentenze che non contengono la firma del giudice e tale vizio va rilevato d'ufficio (art. 142 cpv. 2 CPC). Nondimeno, in concreto, si può prescindere dal dichiarare nulla la sentenza impugnata. Intanto la mancanza della firma non ha impedito alla ricorrente di far valere nel ricorso tutte le sue censure d'ordine e di merito, sicché non le ha recato alcun pregiudizio (Cocchi/Trezzini , CPC massimato e commentato, Lugano 2000, n. 1 ad art. 285). Inoltre l'annullamento della decisione trascenderebbe nel formalismo eccessivo poiché l'ossequio della forma si tradurrebbe in un vuoto esercizio di giurisdizione, nel senso che il nuovo giudizio sanato nella forma risulterebbe necessariamente uguale, nella sostanza, a quello annullato. Nulla osta quindi all'esame nel merito del ricorso.</w:t>
      </w:r>
    </w:p>
    <w:p>
      <w:r>
        <w:rPr>
          <w:b/>
        </w:rPr>
        <w:t>E. 2</w:t>
      </w:r>
    </w:p>
    <w:p>
      <w:r>
        <w:t>Giusta l'art. 327 lett. g CPC, disposto sotto il quale possono essere sussunte le censure ricorsali,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III 211 consid. 2.1).</w:t>
      </w:r>
    </w:p>
    <w:p>
      <w:r>
        <w:rPr>
          <w:b/>
        </w:rPr>
        <w:t>E. 3</w:t>
      </w:r>
    </w:p>
    <w:p>
      <w:r>
        <w:t>La ricorrente lamenta il fatto che il Pretore avrebbe dovuto applicare l'art. 39 cpv. 2 CPC e diffidarla dal munirsi di un patrocinatore. A torto. Ogni persona avente l'esercizio dei diritti civili può procedere in lite con atti propri (art. 38 cpv. 1 CPC). La capacità processuale comprende, appunto, la facoltà di compiere personalmente tutti gli atti di causa (art. 39 cpv. 1 CPC). Nel Cantone Ticino, come nel resto della Svizzera, le parti non sono obbligate a farsi patrocinare in giudizio, obbligo che esiste invece in Germania e in Italia per la maggior parte dei processi civili (sentenza del Tribunale federale 5P.340/1995 del 23 novembre 1995, consid. 3a con richiami). Quando il giudice ritiene però che una persona non sia capace di proporre e di discutere con la necessaria chiarezza la propria causa, la diffida a munirsi entro breve termine di un legale, con la comminatoria della nomina di un avvocato d'ufficio (art. 39 cpv. 2 CPC). Proprio perché configura una restrizione della capacità processuale, questo provvedimento deve giustificarsi alla luce delle circostanze concrete, oggettive o soggettive (Rep. 1989 pag. 168 in alto, 1988 pag. 375 consid. a). Che una parte non sia provvista di un avvocato ancora non significa che essa debba essere diffidata a dotarsi di un legale.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La situazione va apprezzata di caso in caso. In concreto nulla induce a ritenere che l'attrice non fosse in grado di discutere con la necessaria chiarezza la causa in questione. Essa ha presentato i suoi atti corretti dal profilo formale e ha chiaramente indicato i motivi a sostegno della sua azione, allegando le prove documentali a conforto della stessa. In simili condizioni il Pretore non era tenuto a diffidarla perché si munisse di un patrocinatore, né tanto meno a nominargli un avvocato d'ufficio. Scegliendo di stare in giudizio senza alcun ausilio, l'interessata ha consapevolmente affrontato il rischio di compiere errori giuridici o di incorrere in mancanze processuali. Non può adesso far carico al Pretore di averle lasciato esercitare i suoi diritti di parte.</w:t>
      </w:r>
    </w:p>
    <w:p>
      <w:r>
        <w:rPr>
          <w:b/>
        </w:rPr>
        <w:t>E. 4</w:t>
      </w:r>
    </w:p>
    <w:p>
      <w:r>
        <w:t>La ricorrente si duole della violazione da parte del primo giudice delle norme di procedura che regolano l'azione di accertamento dell'inesistenza del debito dalla stessa proposta, alla quale tornerebbero applicabili gli art. 291 segg. CPC, e non gli art. 398 segg. CPC applicati a torto dal Pretore. Ora, è vero che l'art. 400 CPC rinvia, per le cause a procedura accelerata come quelle di cui all'art. 85 a LEF che ricadono sotto la procedura inappellabile, ossia di valore inferiore ai fr. 8000.–, agli art. 291segg. CPC, tuttavia la diversa procedura adottata dal Pretore non ha arrecato nessun pregiudizio alla ricorrente. Intanto, contrariamente a quanto sostiene, all'udienza del 29 settembre 2006 essa ha prodotto ulteriore documentazione. Inoltre trattandosi in entrambi i casi di procedure rette dal principio attitatorio, spetta sempre alla parte l'onere di allegare i fatti e le prove a sostegno delle proprie allegazioni, la quale non può certo attendersi che sia il giudice a supplire alle sue carenze probatorie. In questo senso, nulla giova alla ricorrente il richiamo all'art. 294 cpv. 3 CPC, giacché trattasi di una facoltà per il giudice e la sola circostanza che il giudice non ne faccia uso non basta per essere sanzionata con un ricorso per cassazione.</w:t>
      </w:r>
    </w:p>
    <w:p>
      <w:r>
        <w:rPr>
          <w:b/>
        </w:rPr>
        <w:t>E. 5</w:t>
      </w:r>
    </w:p>
    <w:p>
      <w:r>
        <w:t>Quanto ai motivi per i quali il Pretore ha respinto l'azione, di per sé non contestati dalla ricorrente, questa Camera ha già avuto modo di ricordare che se il merito del credito posto in esecuzione è già stato deciso, come è il caso in concreto, in esito a una procedura di rigetto definitivo dell'opposizione basata su un titolo esecutivo (ovvero delle decisioni amministrative regolarmente passate in giudicato), le uniche eccezioni proponibili nell'ambito di un'azione di accertamento dell'inesistenza del debito basata sull'art. 85 a LEF, sono attinenti al dispositivo della sentenza o a eccezioni sorte successivamente al passaggio in giudicato della sentenza (CCC sentenza inc. 16.2006.121 del 22 febbraio 2007, consid. 4). Non avendo l'istante sollevato nessuna di queste eccezioni, quelle dalla stessa proposte a sostegno della sua azione essendo già state esaminate e decise nel precedente giudizio di rigetto, non vi è nel caso concreto motivo per censurare la sentenza impugnata, frutto di una corretta applicazione del diritto sostanziale. Visto quanto precede il ricorso, che non ha evidenziato nessun titolo di cassazione, tantomeno quello di cui all'art. 327 lett. g CPC, deve essere respinto.</w:t>
      </w:r>
    </w:p>
    <w:p>
      <w:r>
        <w:rPr>
          <w:b/>
        </w:rPr>
        <w:t>E. 6</w:t>
      </w:r>
    </w:p>
    <w:p>
      <w:r>
        <w:t>Gli oneri processuali seguono la soccombenza (art. 148 cpv. 1 CPC), mentre non si giustifica di assegnare ripetibili all'ente pubblico avendo questi agito nell'esercizio delle sue attribuzioni ufficiali (cfr. art. 68 cpv. 3 LTF per analogia). Per questi motivi, vista sulle spese anche la tariffa giudiziaria, pronuncia: 1.   Il ricorso per cassazione 26 ottobre 2006 di RI 1 è respinto. 2.   Gli oneri del presente giudizio, consistenti in: a) tassa di giustizia      fr. 320.– b) spese                         fr.   50.– fr. 370.– già anticipati dalla ricorrente, rimangono a suo carico. Non si assegnano ripetibili. 3.   Intimazione a: –.; . Comunicazione alla Pretura del Distretto di Lugano, sezione 5.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